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media/image1.png" ContentType="image/png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3.xml.rels" ContentType="application/vnd.openxmlformats-package.relationships+xml"/>
  <Override PartName="/word/_rels/header2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jc w:val="left"/>
        <w:rPr>
          <w:rFonts w:ascii="Calibri" w:hAnsi="Calibri"/>
          <w:lang w:eastAsia="zxx"/>
        </w:rPr>
      </w:pPr>
      <w:r>
        <w:rPr>
          <w:rStyle w:val="Domylnaczcionkaakapitu"/>
          <w:rFonts w:eastAsia="Times New Roman" w:cs="Times New Roman"/>
          <w:b w:val="false"/>
          <w:bCs w:val="false"/>
          <w:color w:val="000000"/>
          <w:sz w:val="20"/>
          <w:szCs w:val="20"/>
          <w:u w:val="none"/>
          <w:shd w:fill="auto" w:val="clear"/>
          <w:lang w:val="pl-PL" w:eastAsia="zxx" w:bidi="zxx"/>
        </w:rPr>
        <w:t xml:space="preserve"> </w:t>
      </w:r>
      <w:r>
        <w:rPr>
          <w:rStyle w:val="Domylnaczcionkaakapitu"/>
          <w:rFonts w:eastAsia="Times New Roman" w:cs="Times New Roman"/>
          <w:b w:val="false"/>
          <w:bCs w:val="false"/>
          <w:i/>
          <w:iCs/>
          <w:color w:val="000000"/>
          <w:sz w:val="20"/>
          <w:szCs w:val="20"/>
          <w:u w:val="none"/>
          <w:shd w:fill="auto" w:val="clear"/>
          <w:lang w:val="pl-PL" w:eastAsia="ar-SA" w:bidi="zxx"/>
        </w:rPr>
        <w:tab/>
        <w:tab/>
        <w:tab/>
        <w:tab/>
        <w:tab/>
        <w:tab/>
        <w:tab/>
        <w:tab/>
        <w:tab/>
        <w:tab/>
        <w:tab/>
        <w:tab/>
        <w:tab/>
        <w:tab/>
        <w:tab/>
        <w:t xml:space="preserve"> Zał. nr 2 do zapytania ofertowego</w:t>
      </w:r>
    </w:p>
    <w:p>
      <w:pPr>
        <w:pStyle w:val="Normal"/>
        <w:suppressAutoHyphens w:val="true"/>
        <w:spacing w:before="120" w:after="0"/>
        <w:jc w:val="center"/>
        <w:rPr>
          <w:rFonts w:ascii="Calibri" w:hAnsi="Calibri"/>
          <w:b/>
          <w:bCs/>
          <w:lang w:eastAsia="ar-SA"/>
        </w:rPr>
      </w:pPr>
      <w:r>
        <w:rPr>
          <w:b/>
          <w:bCs/>
          <w:lang w:eastAsia="ar-SA"/>
        </w:rPr>
      </w:r>
    </w:p>
    <w:tbl>
      <w:tblPr>
        <w:tblW w:w="13964" w:type="dxa"/>
        <w:jc w:val="left"/>
        <w:tblInd w:w="31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6417"/>
        <w:gridCol w:w="7546"/>
      </w:tblGrid>
      <w:tr>
        <w:trPr>
          <w:trHeight w:val="1349" w:hRule="atLeast"/>
        </w:trPr>
        <w:tc>
          <w:tcPr>
            <w:tcW w:w="6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suppressAutoHyphens w:val="true"/>
              <w:snapToGrid w:val="false"/>
              <w:spacing w:before="0" w:after="200"/>
              <w:jc w:val="center"/>
              <w:rPr>
                <w:rFonts w:ascii="Calibri" w:hAnsi="Calibri"/>
                <w:i/>
                <w:i/>
                <w:sz w:val="18"/>
                <w:lang w:eastAsia="ar-SA"/>
              </w:rPr>
            </w:pPr>
            <w:r>
              <w:rPr>
                <w:i/>
                <w:sz w:val="18"/>
                <w:lang w:eastAsia="ar-SA"/>
              </w:rPr>
              <w:t>(nazwa Wykonawcy/Wykonawców)</w:t>
            </w:r>
          </w:p>
        </w:tc>
        <w:tc>
          <w:tcPr>
            <w:tcW w:w="7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5E5E5" w:val="clear"/>
            <w:vAlign w:val="center"/>
          </w:tcPr>
          <w:p>
            <w:pPr>
              <w:pStyle w:val="Normal"/>
              <w:suppressAutoHyphens w:val="true"/>
              <w:spacing w:before="120" w:after="0"/>
              <w:jc w:val="center"/>
              <w:rPr>
                <w:rFonts w:ascii="Calibri" w:hAnsi="Calibri"/>
                <w:b/>
                <w:bCs/>
                <w:lang w:eastAsia="ar-SA"/>
              </w:rPr>
            </w:pPr>
            <w:r>
              <w:rPr>
                <w:b/>
                <w:bCs/>
                <w:lang w:eastAsia="ar-SA"/>
              </w:rPr>
              <w:t>SZCZEGÓŁOWY WYKAZ SPRZĘTÓW DO OFERTY</w:t>
            </w:r>
          </w:p>
        </w:tc>
      </w:tr>
    </w:tbl>
    <w:p>
      <w:pPr>
        <w:pStyle w:val="Normal"/>
        <w:tabs>
          <w:tab w:val="clear" w:pos="708"/>
        </w:tabs>
        <w:spacing w:lineRule="auto" w:line="360" w:before="0" w:after="120"/>
        <w:ind w:hanging="2127" w:left="2127" w:right="0"/>
        <w:jc w:val="both"/>
        <w:rPr>
          <w:rFonts w:ascii="Calibri" w:hAnsi="Calibri"/>
        </w:rPr>
      </w:pPr>
      <w:r>
        <w:rPr/>
      </w:r>
    </w:p>
    <w:p>
      <w:pPr>
        <w:pStyle w:val="Normal"/>
        <w:spacing w:before="0" w:after="0"/>
        <w:rPr>
          <w:rFonts w:ascii="Calibri" w:hAnsi="Calibri"/>
          <w:b/>
        </w:rPr>
      </w:pPr>
      <w:r>
        <w:rPr>
          <w:b/>
        </w:rPr>
        <w:tab/>
        <w:tab/>
        <w:tab/>
        <w:tab/>
        <w:tab/>
        <w:tab/>
        <w:tab/>
        <w:tab/>
        <w:tab/>
        <w:tab/>
        <w:tab/>
        <w:tab/>
        <w:tab/>
        <w:tab/>
        <w:tab/>
        <w:t>Zamawiający :</w:t>
      </w:r>
    </w:p>
    <w:p>
      <w:pPr>
        <w:pStyle w:val="Normal"/>
        <w:spacing w:before="0" w:after="0"/>
        <w:rPr>
          <w:rFonts w:ascii="Calibri" w:hAnsi="Calibri"/>
          <w:b/>
        </w:rPr>
      </w:pPr>
      <w:r>
        <w:rPr>
          <w:b/>
        </w:rPr>
      </w:r>
    </w:p>
    <w:p>
      <w:pPr>
        <w:pStyle w:val="Normal"/>
        <w:spacing w:before="0" w:after="0"/>
        <w:rPr/>
      </w:pPr>
      <w:r>
        <w:rPr>
          <w:rStyle w:val="Domylnaczcionkaakapitu1"/>
          <w:rFonts w:eastAsia="Arial" w:cs="Tahoma"/>
          <w:b/>
          <w:color w:val="000000"/>
          <w:lang w:eastAsia="ar-SA"/>
        </w:rPr>
        <w:tab/>
        <w:tab/>
        <w:tab/>
        <w:tab/>
        <w:tab/>
        <w:tab/>
        <w:tab/>
        <w:tab/>
        <w:tab/>
        <w:tab/>
        <w:tab/>
        <w:tab/>
        <w:tab/>
      </w:r>
      <w:r>
        <w:rPr>
          <w:rStyle w:val="Hyperlink"/>
          <w:rFonts w:eastAsia="Calibri" w:cs="Calibri"/>
          <w:b/>
          <w:bCs/>
          <w:i w:val="false"/>
          <w:iCs w:val="false"/>
          <w:color w:val="000000"/>
          <w:sz w:val="24"/>
          <w:szCs w:val="24"/>
          <w:u w:val="none"/>
          <w:shd w:fill="FFFFFF" w:val="clear"/>
          <w:lang w:val="pl-PL" w:eastAsia="zxx"/>
        </w:rPr>
        <w:t xml:space="preserve">Gmina Biłgoraj - Gminny Ośrodek </w:t>
        <w:tab/>
        <w:tab/>
        <w:tab/>
        <w:tab/>
        <w:tab/>
        <w:tab/>
        <w:tab/>
        <w:tab/>
        <w:tab/>
        <w:tab/>
        <w:tab/>
        <w:tab/>
        <w:tab/>
        <w:tab/>
        <w:tab/>
        <w:t>Pomocy Społecznej w Biłgoraju</w:t>
        <w:br/>
        <w:tab/>
        <w:tab/>
        <w:tab/>
        <w:tab/>
        <w:tab/>
        <w:tab/>
        <w:tab/>
        <w:tab/>
        <w:tab/>
        <w:tab/>
        <w:tab/>
        <w:tab/>
        <w:tab/>
        <w:t>ul. T. Kościuszki 88, 23-400 Biłgoraj</w:t>
        <w:br/>
        <w:tab/>
        <w:tab/>
        <w:tab/>
        <w:tab/>
        <w:tab/>
        <w:tab/>
        <w:tab/>
        <w:tab/>
        <w:tab/>
        <w:tab/>
        <w:tab/>
        <w:tab/>
        <w:tab/>
        <w:t>tel. 84 688 28 64</w:t>
        <w:br/>
        <w:tab/>
        <w:tab/>
        <w:tab/>
        <w:tab/>
        <w:tab/>
        <w:tab/>
        <w:tab/>
        <w:tab/>
        <w:tab/>
        <w:tab/>
        <w:tab/>
        <w:tab/>
        <w:tab/>
        <w:t xml:space="preserve">e-mail: </w:t>
      </w:r>
      <w:hyperlink r:id="rId2">
        <w:r>
          <w:rPr>
            <w:rStyle w:val="Hyperlink"/>
            <w:rFonts w:eastAsia="Calibri" w:cs="Calibri"/>
            <w:b/>
            <w:bCs/>
            <w:i w:val="false"/>
            <w:iCs w:val="false"/>
            <w:color w:val="2A6099"/>
            <w:sz w:val="24"/>
            <w:szCs w:val="24"/>
            <w:u w:val="single"/>
            <w:shd w:fill="FFFFFF" w:val="clear"/>
            <w:lang w:val="pl-PL" w:eastAsia="zxx"/>
          </w:rPr>
          <w:t>sekretariat@gops.gminabilgoraj.pl</w:t>
        </w:r>
      </w:hyperlink>
    </w:p>
    <w:p>
      <w:pPr>
        <w:pStyle w:val="Normal"/>
        <w:spacing w:lineRule="auto" w:line="240" w:before="0" w:after="0"/>
        <w:jc w:val="left"/>
        <w:rPr>
          <w:rFonts w:ascii="Calibri" w:hAnsi="Calibri"/>
          <w:sz w:val="24"/>
          <w:szCs w:val="24"/>
          <w:lang w:val="pl-PL" w:eastAsia="zxx" w:bidi="zxx"/>
        </w:rPr>
      </w:pPr>
      <w:r>
        <w:rPr>
          <w:rStyle w:val="Domylnaczcionkaakapitu"/>
          <w:rFonts w:eastAsia="Times New Roman" w:cs="Times New Roman"/>
          <w:b/>
          <w:bCs/>
          <w:color w:val="000000"/>
          <w:spacing w:val="-3"/>
          <w:sz w:val="24"/>
          <w:szCs w:val="24"/>
          <w:u w:val="none"/>
          <w:shd w:fill="auto" w:val="clear"/>
          <w:lang w:val="pl-PL" w:eastAsia="zxx" w:bidi="zxx"/>
        </w:rPr>
        <w:t xml:space="preserve">Znak sprawy : </w:t>
      </w:r>
      <w:r>
        <w:rPr>
          <w:rStyle w:val="Domylnaczcionkaakapitu"/>
          <w:rFonts w:eastAsia="Times New Roman" w:cs="Calibri"/>
          <w:b/>
          <w:bCs/>
          <w:color w:val="000000"/>
          <w:spacing w:val="-3"/>
          <w:sz w:val="24"/>
          <w:szCs w:val="24"/>
          <w:u w:val="none"/>
          <w:shd w:fill="FFFFFF" w:val="clear"/>
          <w:lang w:val="pl-PL" w:eastAsia="zxx" w:bidi="zxx"/>
        </w:rPr>
        <w:t>PS.2202.2.5.2025</w:t>
      </w:r>
    </w:p>
    <w:p>
      <w:pPr>
        <w:pStyle w:val="Normal"/>
        <w:spacing w:before="0" w:after="0"/>
        <w:rPr/>
      </w:pPr>
      <w:r>
        <w:rPr/>
      </w:r>
    </w:p>
    <w:p>
      <w:pPr>
        <w:pStyle w:val="Normal"/>
        <w:rPr/>
      </w:pPr>
      <w:r>
        <w:rPr>
          <w:rStyle w:val="Domylnaczcionkaakapitu1"/>
          <w:rFonts w:eastAsia="Arial"/>
          <w:color w:val="000000"/>
          <w:spacing w:val="-8"/>
        </w:rPr>
        <w:t xml:space="preserve">Niniejszy szczegółowy wykaz produktów stanowi załącznik do oferty (załącznik nr1)  </w:t>
      </w:r>
      <w:r>
        <w:rPr>
          <w:rStyle w:val="Domylnaczcionkaakapitu1"/>
          <w:rFonts w:eastAsia="Arial"/>
          <w:b/>
          <w:bCs/>
          <w:color w:val="333333"/>
          <w:spacing w:val="-8"/>
        </w:rPr>
        <w:t xml:space="preserve">na usługę </w:t>
      </w:r>
      <w:r>
        <w:rPr>
          <w:rStyle w:val="Domylnaczcionkaakapitu1"/>
          <w:rFonts w:eastAsia="Arial" w:cs="Calibri"/>
          <w:b/>
          <w:bCs/>
          <w:color w:val="000000"/>
          <w:spacing w:val="-8"/>
        </w:rPr>
        <w:t xml:space="preserve">pn.: </w:t>
      </w:r>
      <w:r>
        <w:rPr>
          <w:rStyle w:val="Domylnaczcionkaakapitu1"/>
          <w:rFonts w:eastAsia="Times New Roman CE" w:cs="Calibri"/>
          <w:color w:val="000000"/>
          <w:spacing w:val="-3"/>
        </w:rPr>
        <w:t xml:space="preserve"> </w:t>
      </w:r>
      <w:r>
        <w:rPr>
          <w:rStyle w:val="Domylnaczcionkaakapitu"/>
          <w:rFonts w:eastAsia="Calibri" w:cs="Calibri"/>
          <w:b/>
          <w:bCs/>
          <w:i/>
          <w:iCs/>
          <w:color w:val="000000"/>
          <w:spacing w:val="-8"/>
          <w:sz w:val="24"/>
          <w:szCs w:val="24"/>
          <w:lang w:val="pl-PL" w:eastAsia="zxx" w:bidi="zxx"/>
        </w:rPr>
        <w:t>„Zakup i dostawa wyposażenia oraz sprzętów na potrzeby realizacji zajęć w Dziennym Domu Pomocy w Dylach”.</w:t>
      </w:r>
    </w:p>
    <w:p>
      <w:pPr>
        <w:pStyle w:val="Normal"/>
        <w:spacing w:lineRule="auto" w:line="240" w:before="0" w:after="0"/>
        <w:jc w:val="center"/>
        <w:rPr>
          <w:rFonts w:ascii="Calibri" w:hAnsi="Calibri"/>
          <w:b/>
          <w:bCs/>
          <w:sz w:val="24"/>
          <w:szCs w:val="24"/>
          <w:lang w:val="pl-PL" w:eastAsia="zxx" w:bidi="zxx"/>
        </w:rPr>
      </w:pPr>
      <w:r>
        <w:rPr>
          <w:b/>
          <w:bCs/>
          <w:sz w:val="24"/>
          <w:szCs w:val="24"/>
          <w:lang w:val="pl-PL" w:eastAsia="zxx" w:bidi="zxx"/>
        </w:rPr>
      </w:r>
    </w:p>
    <w:p>
      <w:pPr>
        <w:pStyle w:val="Normal"/>
        <w:spacing w:lineRule="auto" w:line="240" w:before="0" w:after="0"/>
        <w:jc w:val="center"/>
        <w:rPr>
          <w:rFonts w:ascii="Calibri" w:hAnsi="Calibri"/>
          <w:b/>
          <w:bCs/>
          <w:sz w:val="24"/>
          <w:szCs w:val="24"/>
          <w:lang w:val="pl-PL" w:eastAsia="zxx" w:bidi="zxx"/>
        </w:rPr>
      </w:pPr>
      <w:r>
        <w:rPr>
          <w:b/>
          <w:bCs/>
          <w:sz w:val="24"/>
          <w:szCs w:val="24"/>
          <w:lang w:val="pl-PL" w:eastAsia="zxx" w:bidi="zxx"/>
        </w:rPr>
        <w:t xml:space="preserve">  </w:t>
      </w:r>
      <w:r>
        <w:rPr>
          <w:b/>
          <w:bCs/>
          <w:sz w:val="24"/>
          <w:szCs w:val="24"/>
          <w:lang w:val="pl-PL" w:eastAsia="zxx" w:bidi="zxx"/>
        </w:rPr>
        <w:t>Zakup sprzętu do czynności opiekuńczych</w:t>
      </w:r>
    </w:p>
    <w:p>
      <w:pPr>
        <w:pStyle w:val="Normal"/>
        <w:spacing w:lineRule="auto" w:line="240" w:before="0" w:after="0"/>
        <w:jc w:val="right"/>
        <w:rPr>
          <w:rFonts w:ascii="Calibri" w:hAnsi="Calibri" w:cs="Arial"/>
          <w:i/>
          <w:i/>
          <w:sz w:val="24"/>
          <w:szCs w:val="24"/>
          <w:lang w:eastAsia="ar-SA"/>
        </w:rPr>
      </w:pPr>
      <w:r>
        <w:rPr>
          <w:rFonts w:cs="Arial"/>
          <w:i/>
          <w:sz w:val="24"/>
          <w:szCs w:val="24"/>
          <w:lang w:eastAsia="ar-SA"/>
        </w:rPr>
      </w:r>
    </w:p>
    <w:tbl>
      <w:tblPr>
        <w:tblW w:w="13890" w:type="dxa"/>
        <w:jc w:val="left"/>
        <w:tblInd w:w="-5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294"/>
        <w:gridCol w:w="242"/>
        <w:gridCol w:w="2969"/>
        <w:gridCol w:w="1870"/>
        <w:gridCol w:w="2850"/>
        <w:gridCol w:w="1082"/>
        <w:gridCol w:w="1486"/>
        <w:gridCol w:w="950"/>
        <w:gridCol w:w="1078"/>
        <w:gridCol w:w="1067"/>
      </w:tblGrid>
      <w:tr>
        <w:trPr/>
        <w:tc>
          <w:tcPr>
            <w:tcW w:w="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  <w:t>Lp.</w:t>
            </w: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/>
                <w:b w:val="false"/>
                <w:bCs w:val="false"/>
                <w:color w:val="000000"/>
                <w:sz w:val="22"/>
                <w:szCs w:val="22"/>
              </w:rPr>
              <w:t>Nazwa artykułu</w:t>
            </w:r>
          </w:p>
        </w:tc>
        <w:tc>
          <w:tcPr>
            <w:tcW w:w="4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/>
                <w:b w:val="false"/>
                <w:bCs w:val="false"/>
                <w:color w:val="000000"/>
                <w:sz w:val="22"/>
                <w:szCs w:val="22"/>
              </w:rPr>
              <w:t>Opis – wymogi minimalne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/>
                <w:b w:val="false"/>
                <w:bCs w:val="false"/>
                <w:color w:val="000000"/>
                <w:sz w:val="22"/>
                <w:szCs w:val="22"/>
              </w:rPr>
              <w:t>Ilość-szt.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/>
                <w:b w:val="false"/>
                <w:bCs w:val="false"/>
                <w:color w:val="000000"/>
                <w:sz w:val="22"/>
                <w:szCs w:val="22"/>
              </w:rPr>
              <w:t>Cena netto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spacing w:before="0" w:after="200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/>
                <w:b w:val="false"/>
                <w:bCs w:val="false"/>
                <w:color w:val="000000"/>
                <w:sz w:val="22"/>
                <w:szCs w:val="22"/>
              </w:rPr>
              <w:t>Vat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spacing w:before="0" w:after="200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/>
                <w:b w:val="false"/>
                <w:bCs w:val="false"/>
                <w:color w:val="000000"/>
                <w:sz w:val="22"/>
                <w:szCs w:val="22"/>
              </w:rPr>
              <w:t>Cena brutto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spacing w:before="0" w:after="0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/>
                <w:b w:val="false"/>
                <w:bCs w:val="false"/>
                <w:color w:val="000000"/>
                <w:sz w:val="22"/>
                <w:szCs w:val="22"/>
              </w:rPr>
              <w:t>Łączna wartość brutto</w:t>
            </w:r>
          </w:p>
        </w:tc>
      </w:tr>
      <w:tr>
        <w:trPr/>
        <w:tc>
          <w:tcPr>
            <w:tcW w:w="536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numPr>
                <w:ilvl w:val="0"/>
                <w:numId w:val="14"/>
              </w:numPr>
              <w:suppressLineNumbers/>
              <w:suppressAutoHyphens w:val="true"/>
              <w:bidi w:val="0"/>
              <w:spacing w:before="0" w:after="0"/>
              <w:ind w:hanging="624" w:left="737" w:right="57"/>
              <w:jc w:val="left"/>
              <w:textAlignment w:val="baseline"/>
              <w:rPr/>
            </w:pPr>
            <w:r>
              <w:rPr/>
            </w:r>
          </w:p>
        </w:tc>
        <w:tc>
          <w:tcPr>
            <w:tcW w:w="296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  <w:t>Śliniak duży zmywalny</w:t>
            </w:r>
          </w:p>
        </w:tc>
        <w:tc>
          <w:tcPr>
            <w:tcW w:w="4720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rPr>
                <w:rFonts w:ascii="Calibri" w:hAnsi="Calibri" w:eastAsia="Times New Roman" w:cs="Calibri"/>
                <w:b w:val="false"/>
                <w:bCs w:val="false"/>
                <w:color w:val="000000"/>
                <w:sz w:val="22"/>
                <w:szCs w:val="22"/>
                <w:lang w:eastAsia="pl-PL"/>
              </w:rPr>
            </w:pPr>
            <w:r>
              <w:rPr>
                <w:rFonts w:eastAsia="Times New Roman" w:cs="Calibri" w:ascii="Calibri" w:hAnsi="Calibri"/>
                <w:b w:val="false"/>
                <w:bCs w:val="false"/>
                <w:color w:val="000000"/>
                <w:sz w:val="22"/>
                <w:szCs w:val="22"/>
                <w:lang w:eastAsia="pl-PL"/>
              </w:rPr>
              <w:t>2 stopniowa regulacja obwodu szyi, łatwe mocowanie za pomocą zatrzasków, Wymiary: 85x 45cm+-2cm</w:t>
            </w:r>
          </w:p>
        </w:tc>
        <w:tc>
          <w:tcPr>
            <w:tcW w:w="108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snapToGrid w:val="false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</w:r>
          </w:p>
        </w:tc>
        <w:tc>
          <w:tcPr>
            <w:tcW w:w="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Zawartotabeli"/>
              <w:snapToGrid w:val="false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Zawartotabeli"/>
              <w:snapToGrid w:val="false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</w:r>
          </w:p>
        </w:tc>
        <w:tc>
          <w:tcPr>
            <w:tcW w:w="10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Zawartotabeli"/>
              <w:snapToGrid w:val="false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</w:r>
          </w:p>
        </w:tc>
      </w:tr>
      <w:tr>
        <w:trPr/>
        <w:tc>
          <w:tcPr>
            <w:tcW w:w="536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numPr>
                <w:ilvl w:val="0"/>
                <w:numId w:val="14"/>
              </w:numPr>
              <w:suppressLineNumbers/>
              <w:suppressAutoHyphens w:val="true"/>
              <w:bidi w:val="0"/>
              <w:spacing w:before="0" w:after="0"/>
              <w:ind w:hanging="624" w:left="737" w:right="57"/>
              <w:jc w:val="left"/>
              <w:textAlignment w:val="baseline"/>
              <w:rPr/>
            </w:pPr>
            <w:r>
              <w:rPr/>
            </w:r>
          </w:p>
        </w:tc>
        <w:tc>
          <w:tcPr>
            <w:tcW w:w="296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  <w:t>łóżko na kółkach z regulacją</w:t>
            </w:r>
          </w:p>
        </w:tc>
        <w:tc>
          <w:tcPr>
            <w:tcW w:w="4720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uppressAutoHyphens w:val="false"/>
              <w:spacing w:before="0" w:after="0"/>
              <w:textAlignment w:val="auto"/>
              <w:rPr>
                <w:rFonts w:ascii="Calibri" w:hAnsi="Calibri" w:eastAsia="Times New Roman" w:cs="Calibri"/>
                <w:b w:val="false"/>
                <w:bCs w:val="false"/>
                <w:color w:val="000000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eastAsia="Times New Roman" w:cs="Calibri"/>
                <w:b w:val="false"/>
                <w:bCs w:val="false"/>
                <w:color w:val="000000"/>
                <w:kern w:val="0"/>
                <w:sz w:val="22"/>
                <w:szCs w:val="22"/>
                <w:lang w:eastAsia="pl-PL" w:bidi="ar-SA"/>
              </w:rPr>
              <w:t>wariant dla osoby siedząco-leżacej:</w:t>
            </w:r>
          </w:p>
          <w:p>
            <w:pPr>
              <w:pStyle w:val="Normal"/>
              <w:suppressAutoHyphens w:val="false"/>
              <w:spacing w:before="0" w:after="0"/>
              <w:textAlignment w:val="auto"/>
              <w:rPr>
                <w:rFonts w:ascii="Calibri" w:hAnsi="Calibri" w:eastAsia="Times New Roman" w:cs="Calibri"/>
                <w:b w:val="false"/>
                <w:bCs w:val="false"/>
                <w:color w:val="000000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eastAsia="Times New Roman" w:cs="Calibri"/>
                <w:b w:val="false"/>
                <w:bCs w:val="false"/>
                <w:color w:val="000000"/>
                <w:kern w:val="0"/>
                <w:sz w:val="22"/>
                <w:szCs w:val="22"/>
                <w:lang w:eastAsia="pl-PL" w:bidi="ar-SA"/>
              </w:rPr>
              <w:t>- materac piankowy przeciwodleżynowy w pokrowcu paroprzepuszczalnym, zmywalnym.</w:t>
            </w:r>
          </w:p>
          <w:p>
            <w:pPr>
              <w:pStyle w:val="Normal"/>
              <w:suppressAutoHyphens w:val="false"/>
              <w:spacing w:before="0" w:after="0"/>
              <w:textAlignment w:val="auto"/>
              <w:rPr>
                <w:rFonts w:ascii="Calibri" w:hAnsi="Calibri" w:eastAsia="Times New Roman" w:cs="Calibri"/>
                <w:b w:val="false"/>
                <w:bCs w:val="false"/>
                <w:color w:val="000000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eastAsia="Times New Roman" w:cs="Calibri"/>
                <w:b w:val="false"/>
                <w:bCs w:val="false"/>
                <w:color w:val="000000"/>
                <w:kern w:val="0"/>
                <w:sz w:val="22"/>
                <w:szCs w:val="22"/>
                <w:lang w:eastAsia="pl-PL" w:bidi="ar-SA"/>
              </w:rPr>
              <w:t>Cechy produktu:</w:t>
            </w:r>
          </w:p>
          <w:p>
            <w:pPr>
              <w:pStyle w:val="Normal"/>
              <w:numPr>
                <w:ilvl w:val="0"/>
                <w:numId w:val="3"/>
              </w:numPr>
              <w:suppressAutoHyphens w:val="false"/>
              <w:spacing w:before="0" w:after="0"/>
              <w:textAlignment w:val="auto"/>
              <w:rPr>
                <w:rFonts w:ascii="Calibri" w:hAnsi="Calibri" w:eastAsia="Times New Roman" w:cs="Calibri"/>
                <w:b w:val="false"/>
                <w:bCs w:val="false"/>
                <w:color w:val="000000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eastAsia="Times New Roman" w:cs="Calibri"/>
                <w:b w:val="false"/>
                <w:bCs w:val="false"/>
                <w:color w:val="000000"/>
                <w:kern w:val="0"/>
                <w:sz w:val="22"/>
                <w:szCs w:val="22"/>
                <w:lang w:eastAsia="pl-PL" w:bidi="ar-SA"/>
              </w:rPr>
              <w:t>4-częściowe, łamane metalowe leże z drewnianymi poprzeczkami</w:t>
            </w:r>
          </w:p>
          <w:p>
            <w:pPr>
              <w:pStyle w:val="Normal"/>
              <w:numPr>
                <w:ilvl w:val="0"/>
                <w:numId w:val="3"/>
              </w:numPr>
              <w:suppressAutoHyphens w:val="false"/>
              <w:spacing w:before="0" w:after="0"/>
              <w:textAlignment w:val="auto"/>
              <w:rPr>
                <w:rFonts w:ascii="Calibri" w:hAnsi="Calibri" w:eastAsia="Times New Roman" w:cs="Calibri"/>
                <w:b w:val="false"/>
                <w:bCs w:val="false"/>
                <w:color w:val="000000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eastAsia="Times New Roman" w:cs="Calibri"/>
                <w:b w:val="false"/>
                <w:bCs w:val="false"/>
                <w:color w:val="000000"/>
                <w:kern w:val="0"/>
                <w:sz w:val="22"/>
                <w:szCs w:val="22"/>
                <w:lang w:eastAsia="pl-PL" w:bidi="ar-SA"/>
              </w:rPr>
              <w:t>niezabudowane szczyty łóżka</w:t>
            </w:r>
          </w:p>
          <w:p>
            <w:pPr>
              <w:pStyle w:val="Normal"/>
              <w:numPr>
                <w:ilvl w:val="0"/>
                <w:numId w:val="3"/>
              </w:numPr>
              <w:suppressAutoHyphens w:val="false"/>
              <w:spacing w:before="0" w:after="0"/>
              <w:textAlignment w:val="auto"/>
              <w:rPr>
                <w:rFonts w:ascii="Calibri" w:hAnsi="Calibri" w:eastAsia="Times New Roman" w:cs="Calibri"/>
                <w:b w:val="false"/>
                <w:bCs w:val="false"/>
                <w:color w:val="000000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eastAsia="Times New Roman" w:cs="Calibri"/>
                <w:b w:val="false"/>
                <w:bCs w:val="false"/>
                <w:color w:val="000000"/>
                <w:kern w:val="0"/>
                <w:sz w:val="22"/>
                <w:szCs w:val="22"/>
                <w:lang w:eastAsia="pl-PL" w:bidi="ar-SA"/>
              </w:rPr>
              <w:t>wytrzymała stalowa rama</w:t>
            </w:r>
          </w:p>
          <w:p>
            <w:pPr>
              <w:pStyle w:val="Normal"/>
              <w:numPr>
                <w:ilvl w:val="0"/>
                <w:numId w:val="3"/>
              </w:numPr>
              <w:suppressAutoHyphens w:val="false"/>
              <w:spacing w:before="0" w:after="0"/>
              <w:textAlignment w:val="auto"/>
              <w:rPr>
                <w:rFonts w:ascii="Calibri" w:hAnsi="Calibri" w:eastAsia="Times New Roman" w:cs="Calibri"/>
                <w:b w:val="false"/>
                <w:bCs w:val="false"/>
                <w:color w:val="000000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eastAsia="Times New Roman" w:cs="Calibri"/>
                <w:b w:val="false"/>
                <w:bCs w:val="false"/>
                <w:color w:val="000000"/>
                <w:kern w:val="0"/>
                <w:sz w:val="22"/>
                <w:szCs w:val="22"/>
                <w:lang w:eastAsia="pl-PL" w:bidi="ar-SA"/>
              </w:rPr>
              <w:t>prosty montaż i demontaż</w:t>
            </w:r>
          </w:p>
          <w:p>
            <w:pPr>
              <w:pStyle w:val="Normal"/>
              <w:numPr>
                <w:ilvl w:val="0"/>
                <w:numId w:val="3"/>
              </w:numPr>
              <w:suppressAutoHyphens w:val="false"/>
              <w:spacing w:before="0" w:after="0"/>
              <w:textAlignment w:val="auto"/>
              <w:rPr>
                <w:rFonts w:ascii="Calibri" w:hAnsi="Calibri" w:eastAsia="Times New Roman" w:cs="Calibri"/>
                <w:b w:val="false"/>
                <w:bCs w:val="false"/>
                <w:color w:val="000000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eastAsia="Times New Roman" w:cs="Calibri"/>
                <w:b w:val="false"/>
                <w:bCs w:val="false"/>
                <w:color w:val="000000"/>
                <w:kern w:val="0"/>
                <w:sz w:val="22"/>
                <w:szCs w:val="22"/>
                <w:lang w:eastAsia="pl-PL" w:bidi="ar-SA"/>
              </w:rPr>
              <w:t>regulacja wys. leża od 39 cm do 80 cm+-5cm,</w:t>
            </w:r>
          </w:p>
          <w:p>
            <w:pPr>
              <w:pStyle w:val="Normal"/>
              <w:numPr>
                <w:ilvl w:val="0"/>
                <w:numId w:val="3"/>
              </w:numPr>
              <w:suppressAutoHyphens w:val="false"/>
              <w:spacing w:before="0" w:after="0"/>
              <w:textAlignment w:val="auto"/>
              <w:rPr>
                <w:rFonts w:ascii="Calibri" w:hAnsi="Calibri" w:eastAsia="Times New Roman" w:cs="Calibri"/>
                <w:b w:val="false"/>
                <w:bCs w:val="false"/>
                <w:color w:val="000000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eastAsia="Times New Roman" w:cs="Calibri"/>
                <w:b w:val="false"/>
                <w:bCs w:val="false"/>
                <w:color w:val="000000"/>
                <w:kern w:val="0"/>
                <w:sz w:val="22"/>
                <w:szCs w:val="22"/>
                <w:lang w:eastAsia="pl-PL" w:bidi="ar-SA"/>
              </w:rPr>
              <w:t>pilot sterujący w zestawie</w:t>
            </w:r>
          </w:p>
          <w:p>
            <w:pPr>
              <w:pStyle w:val="Normal"/>
              <w:numPr>
                <w:ilvl w:val="0"/>
                <w:numId w:val="3"/>
              </w:numPr>
              <w:suppressAutoHyphens w:val="false"/>
              <w:spacing w:before="0" w:after="0"/>
              <w:textAlignment w:val="auto"/>
              <w:rPr>
                <w:rFonts w:ascii="Calibri" w:hAnsi="Calibri" w:eastAsia="Times New Roman" w:cs="Calibri"/>
                <w:b w:val="false"/>
                <w:bCs w:val="false"/>
                <w:color w:val="000000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eastAsia="Times New Roman" w:cs="Calibri"/>
                <w:b w:val="false"/>
                <w:bCs w:val="false"/>
                <w:color w:val="000000"/>
                <w:kern w:val="0"/>
                <w:sz w:val="22"/>
                <w:szCs w:val="22"/>
                <w:lang w:eastAsia="pl-PL" w:bidi="ar-SA"/>
              </w:rPr>
              <w:t>możliwość blokady poszczególnych pozycji leża</w:t>
            </w:r>
          </w:p>
          <w:p>
            <w:pPr>
              <w:pStyle w:val="Normal"/>
              <w:numPr>
                <w:ilvl w:val="0"/>
                <w:numId w:val="3"/>
              </w:numPr>
              <w:suppressAutoHyphens w:val="true"/>
              <w:spacing w:before="0" w:after="0"/>
              <w:textAlignment w:val="auto"/>
              <w:rPr>
                <w:rFonts w:ascii="Calibri" w:hAnsi="Calibri" w:eastAsia="Times New Roman" w:cs="Calibri"/>
                <w:b w:val="false"/>
                <w:bCs w:val="false"/>
                <w:color w:val="000000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eastAsia="Times New Roman" w:cs="Calibri"/>
                <w:b w:val="false"/>
                <w:bCs w:val="false"/>
                <w:color w:val="000000"/>
                <w:kern w:val="0"/>
                <w:sz w:val="22"/>
                <w:szCs w:val="22"/>
                <w:lang w:eastAsia="pl-PL" w:bidi="ar-SA"/>
              </w:rPr>
              <w:t>koła z hamulcem o średnicy 125 mm umożliwiające transport pacjenta</w:t>
            </w:r>
          </w:p>
          <w:p>
            <w:pPr>
              <w:pStyle w:val="Normal"/>
              <w:numPr>
                <w:ilvl w:val="0"/>
                <w:numId w:val="3"/>
              </w:numPr>
              <w:suppressAutoHyphens w:val="false"/>
              <w:spacing w:before="0" w:after="0"/>
              <w:textAlignment w:val="auto"/>
              <w:rPr>
                <w:rFonts w:ascii="Calibri" w:hAnsi="Calibri" w:eastAsia="Times New Roman" w:cs="Calibri"/>
                <w:b w:val="false"/>
                <w:bCs w:val="false"/>
                <w:color w:val="000000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eastAsia="Times New Roman" w:cs="Calibri"/>
                <w:b w:val="false"/>
                <w:bCs w:val="false"/>
                <w:color w:val="000000"/>
                <w:kern w:val="0"/>
                <w:sz w:val="22"/>
                <w:szCs w:val="22"/>
                <w:lang w:eastAsia="pl-PL" w:bidi="ar-SA"/>
              </w:rPr>
              <w:t>regulowane boczne barierki bezpieczeństwa</w:t>
            </w:r>
          </w:p>
          <w:p>
            <w:pPr>
              <w:pStyle w:val="Normal"/>
              <w:numPr>
                <w:ilvl w:val="0"/>
                <w:numId w:val="3"/>
              </w:numPr>
              <w:suppressAutoHyphens w:val="false"/>
              <w:spacing w:before="0" w:after="0"/>
              <w:textAlignment w:val="auto"/>
              <w:rPr>
                <w:rFonts w:ascii="Calibri" w:hAnsi="Calibri" w:eastAsia="Times New Roman" w:cs="Calibri"/>
                <w:b w:val="false"/>
                <w:bCs w:val="false"/>
                <w:color w:val="000000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eastAsia="Times New Roman" w:cs="Calibri"/>
                <w:b w:val="false"/>
                <w:bCs w:val="false"/>
                <w:color w:val="000000"/>
                <w:kern w:val="0"/>
                <w:sz w:val="22"/>
                <w:szCs w:val="22"/>
                <w:lang w:eastAsia="pl-PL" w:bidi="ar-SA"/>
              </w:rPr>
              <w:t>precyzyjne i trwałe siłowniki sterujące 3 sekcjami</w:t>
            </w:r>
          </w:p>
          <w:p>
            <w:pPr>
              <w:pStyle w:val="Normal"/>
              <w:numPr>
                <w:ilvl w:val="0"/>
                <w:numId w:val="3"/>
              </w:numPr>
              <w:suppressAutoHyphens w:val="false"/>
              <w:spacing w:before="0" w:after="0"/>
              <w:textAlignment w:val="auto"/>
              <w:rPr>
                <w:rFonts w:ascii="Calibri" w:hAnsi="Calibri" w:eastAsia="Times New Roman" w:cs="Calibri"/>
                <w:b w:val="false"/>
                <w:bCs w:val="false"/>
                <w:color w:val="000000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eastAsia="Times New Roman" w:cs="Calibri"/>
                <w:b w:val="false"/>
                <w:bCs w:val="false"/>
                <w:color w:val="000000"/>
                <w:kern w:val="0"/>
                <w:sz w:val="22"/>
                <w:szCs w:val="22"/>
                <w:lang w:eastAsia="pl-PL" w:bidi="ar-SA"/>
              </w:rPr>
              <w:t>siłowniki unoszące bazę łóżka</w:t>
            </w:r>
          </w:p>
          <w:p>
            <w:pPr>
              <w:pStyle w:val="Normal"/>
              <w:numPr>
                <w:ilvl w:val="0"/>
                <w:numId w:val="3"/>
              </w:numPr>
              <w:suppressAutoHyphens w:val="false"/>
              <w:spacing w:before="0" w:after="0"/>
              <w:textAlignment w:val="auto"/>
              <w:rPr>
                <w:rFonts w:ascii="Calibri" w:hAnsi="Calibri" w:eastAsia="Times New Roman" w:cs="Calibri"/>
                <w:b w:val="false"/>
                <w:bCs w:val="false"/>
                <w:color w:val="000000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eastAsia="Times New Roman" w:cs="Calibri"/>
                <w:b w:val="false"/>
                <w:bCs w:val="false"/>
                <w:color w:val="000000"/>
                <w:kern w:val="0"/>
                <w:sz w:val="22"/>
                <w:szCs w:val="22"/>
                <w:lang w:eastAsia="pl-PL" w:bidi="ar-SA"/>
              </w:rPr>
              <w:t>wymiar leża 90x 200 cm +-5cm</w:t>
            </w:r>
          </w:p>
          <w:p>
            <w:pPr>
              <w:pStyle w:val="Normal"/>
              <w:numPr>
                <w:ilvl w:val="0"/>
                <w:numId w:val="3"/>
              </w:numPr>
              <w:suppressAutoHyphens w:val="false"/>
              <w:spacing w:before="0" w:after="0"/>
              <w:textAlignment w:val="auto"/>
              <w:rPr>
                <w:rFonts w:ascii="Calibri" w:hAnsi="Calibri" w:eastAsia="Times New Roman" w:cs="Calibri"/>
                <w:b w:val="false"/>
                <w:bCs w:val="false"/>
                <w:color w:val="000000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eastAsia="Times New Roman" w:cs="Calibri"/>
                <w:b w:val="false"/>
                <w:bCs w:val="false"/>
                <w:color w:val="000000"/>
                <w:kern w:val="0"/>
                <w:sz w:val="22"/>
                <w:szCs w:val="22"/>
                <w:lang w:eastAsia="pl-PL" w:bidi="ar-SA"/>
              </w:rPr>
              <w:t>Do samodzielnego montażu</w:t>
            </w:r>
          </w:p>
          <w:p>
            <w:pPr>
              <w:pStyle w:val="Normal"/>
              <w:numPr>
                <w:ilvl w:val="0"/>
                <w:numId w:val="3"/>
              </w:numPr>
              <w:suppressAutoHyphens w:val="false"/>
              <w:spacing w:before="0" w:after="0"/>
              <w:textAlignment w:val="auto"/>
              <w:rPr>
                <w:rFonts w:ascii="Calibri" w:hAnsi="Calibri" w:eastAsia="Times New Roman" w:cs="Calibri"/>
                <w:b w:val="false"/>
                <w:bCs w:val="false"/>
                <w:color w:val="000000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eastAsia="Times New Roman" w:cs="Calibri"/>
                <w:b w:val="false"/>
                <w:bCs w:val="false"/>
                <w:color w:val="000000"/>
                <w:kern w:val="0"/>
                <w:sz w:val="22"/>
                <w:szCs w:val="22"/>
                <w:lang w:eastAsia="pl-PL" w:bidi="ar-SA"/>
              </w:rPr>
              <w:t>Wyrób nowy, medyczny, atestowany</w:t>
            </w:r>
          </w:p>
          <w:p>
            <w:pPr>
              <w:pStyle w:val="Normal"/>
              <w:numPr>
                <w:ilvl w:val="0"/>
                <w:numId w:val="4"/>
              </w:numPr>
              <w:suppressAutoHyphens w:val="false"/>
              <w:spacing w:before="0" w:after="0"/>
              <w:textAlignment w:val="auto"/>
              <w:rPr>
                <w:rFonts w:ascii="Calibri" w:hAnsi="Calibri" w:eastAsia="Times New Roman" w:cs="Calibri"/>
                <w:b w:val="false"/>
                <w:bCs w:val="false"/>
                <w:color w:val="000000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eastAsia="Times New Roman" w:cs="Calibri"/>
                <w:b w:val="false"/>
                <w:bCs w:val="false"/>
                <w:color w:val="000000"/>
                <w:kern w:val="0"/>
                <w:sz w:val="22"/>
                <w:szCs w:val="22"/>
                <w:lang w:eastAsia="pl-PL" w:bidi="ar-SA"/>
              </w:rPr>
              <w:t>Maksymalna waga użytkownika (pacjenta) (kg) min 135</w:t>
            </w:r>
          </w:p>
          <w:p>
            <w:pPr>
              <w:pStyle w:val="Normal"/>
              <w:suppressAutoHyphens w:val="false"/>
              <w:spacing w:before="0" w:after="0"/>
              <w:textAlignment w:val="auto"/>
              <w:rPr/>
            </w:pPr>
            <w:r>
              <w:rPr>
                <w:rStyle w:val="Strong"/>
                <w:rFonts w:cs="Calibri"/>
                <w:b w:val="false"/>
                <w:bCs w:val="false"/>
                <w:color w:val="000000"/>
                <w:sz w:val="22"/>
                <w:szCs w:val="22"/>
              </w:rPr>
              <w:t>Materac do łóżka</w:t>
            </w:r>
          </w:p>
          <w:p>
            <w:pPr>
              <w:pStyle w:val="Normal"/>
              <w:numPr>
                <w:ilvl w:val="0"/>
                <w:numId w:val="5"/>
              </w:numPr>
              <w:suppressAutoHyphens w:val="false"/>
              <w:spacing w:before="0" w:after="0"/>
              <w:textAlignment w:val="auto"/>
              <w:rPr>
                <w:rFonts w:ascii="Calibri" w:hAnsi="Calibri" w:eastAsia="Times New Roman" w:cs="Calibri"/>
                <w:b w:val="false"/>
                <w:bCs w:val="false"/>
                <w:color w:val="000000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eastAsia="Times New Roman" w:cs="Calibri"/>
                <w:b w:val="false"/>
                <w:bCs w:val="false"/>
                <w:color w:val="000000"/>
                <w:kern w:val="0"/>
                <w:sz w:val="22"/>
                <w:szCs w:val="22"/>
                <w:lang w:eastAsia="pl-PL" w:bidi="ar-SA"/>
              </w:rPr>
              <w:t>Pianka wycięta w GOFER umożliwia lepszą redystrybucję ciśnienia oraz cyrkulację powietrza,</w:t>
            </w:r>
          </w:p>
          <w:p>
            <w:pPr>
              <w:pStyle w:val="Normal"/>
              <w:numPr>
                <w:ilvl w:val="0"/>
                <w:numId w:val="5"/>
              </w:numPr>
              <w:suppressAutoHyphens w:val="true"/>
              <w:spacing w:before="0" w:after="0"/>
              <w:textAlignment w:val="auto"/>
              <w:rPr>
                <w:rFonts w:ascii="Calibri" w:hAnsi="Calibri" w:eastAsia="Times New Roman" w:cs="Calibri"/>
                <w:b w:val="false"/>
                <w:bCs w:val="false"/>
                <w:color w:val="000000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eastAsia="Times New Roman" w:cs="Calibri"/>
                <w:b w:val="false"/>
                <w:bCs w:val="false"/>
                <w:color w:val="000000"/>
                <w:kern w:val="0"/>
                <w:sz w:val="22"/>
                <w:szCs w:val="22"/>
                <w:lang w:eastAsia="pl-PL" w:bidi="ar-SA"/>
              </w:rPr>
              <w:t>Pokrowiec wykonany z materiału paroprzepuszczalnego, oddychającego</w:t>
            </w:r>
          </w:p>
          <w:p>
            <w:pPr>
              <w:pStyle w:val="Normal"/>
              <w:numPr>
                <w:ilvl w:val="0"/>
                <w:numId w:val="5"/>
              </w:numPr>
              <w:suppressAutoHyphens w:val="false"/>
              <w:spacing w:before="0" w:after="0"/>
              <w:textAlignment w:val="auto"/>
              <w:rPr>
                <w:rFonts w:ascii="Calibri" w:hAnsi="Calibri" w:eastAsia="Times New Roman" w:cs="Calibri"/>
                <w:b w:val="false"/>
                <w:bCs w:val="false"/>
                <w:color w:val="000000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eastAsia="Times New Roman" w:cs="Calibri"/>
                <w:b w:val="false"/>
                <w:bCs w:val="false"/>
                <w:color w:val="000000"/>
                <w:kern w:val="0"/>
                <w:sz w:val="22"/>
                <w:szCs w:val="22"/>
                <w:lang w:eastAsia="pl-PL" w:bidi="ar-SA"/>
              </w:rPr>
              <w:t>Pasuje na leże o wymiarach 90 x 200 cm</w:t>
            </w:r>
          </w:p>
          <w:p>
            <w:pPr>
              <w:pStyle w:val="Normal"/>
              <w:numPr>
                <w:ilvl w:val="0"/>
                <w:numId w:val="5"/>
              </w:numPr>
              <w:suppressAutoHyphens w:val="false"/>
              <w:spacing w:before="0" w:after="0"/>
              <w:textAlignment w:val="auto"/>
              <w:rPr>
                <w:rFonts w:ascii="Calibri" w:hAnsi="Calibri" w:eastAsia="Times New Roman" w:cs="Calibri"/>
                <w:b w:val="false"/>
                <w:bCs w:val="false"/>
                <w:color w:val="000000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eastAsia="Times New Roman" w:cs="Calibri"/>
                <w:b w:val="false"/>
                <w:bCs w:val="false"/>
                <w:color w:val="000000"/>
                <w:kern w:val="0"/>
                <w:sz w:val="22"/>
                <w:szCs w:val="22"/>
                <w:lang w:eastAsia="pl-PL" w:bidi="ar-SA"/>
              </w:rPr>
              <w:t>Pokrowiec paroprzepuszczalny - zmywalny</w:t>
            </w:r>
          </w:p>
          <w:p>
            <w:pPr>
              <w:pStyle w:val="Normal"/>
              <w:numPr>
                <w:ilvl w:val="0"/>
                <w:numId w:val="5"/>
              </w:numPr>
              <w:suppressAutoHyphens w:val="false"/>
              <w:spacing w:before="0" w:after="0"/>
              <w:textAlignment w:val="auto"/>
              <w:rPr>
                <w:rFonts w:ascii="Calibri" w:hAnsi="Calibri" w:eastAsia="Times New Roman" w:cs="Calibri"/>
                <w:b w:val="false"/>
                <w:bCs w:val="false"/>
                <w:color w:val="000000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eastAsia="Times New Roman" w:cs="Calibri"/>
                <w:b w:val="false"/>
                <w:bCs w:val="false"/>
                <w:color w:val="000000"/>
                <w:kern w:val="0"/>
                <w:sz w:val="22"/>
                <w:szCs w:val="22"/>
                <w:lang w:eastAsia="pl-PL" w:bidi="ar-SA"/>
              </w:rPr>
              <w:t>Wkład materaca z wysokiej jakości pianki PU</w:t>
            </w:r>
          </w:p>
          <w:p>
            <w:pPr>
              <w:pStyle w:val="Normal"/>
              <w:numPr>
                <w:ilvl w:val="0"/>
                <w:numId w:val="5"/>
              </w:numPr>
              <w:suppressAutoHyphens w:val="false"/>
              <w:spacing w:before="0" w:after="0"/>
              <w:textAlignment w:val="auto"/>
              <w:rPr>
                <w:rFonts w:ascii="Calibri" w:hAnsi="Calibri" w:eastAsia="Times New Roman" w:cs="Calibri"/>
                <w:b w:val="false"/>
                <w:bCs w:val="false"/>
                <w:color w:val="000000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eastAsia="Times New Roman" w:cs="Calibri"/>
                <w:b w:val="false"/>
                <w:bCs w:val="false"/>
                <w:color w:val="000000"/>
                <w:kern w:val="0"/>
                <w:sz w:val="22"/>
                <w:szCs w:val="22"/>
                <w:lang w:eastAsia="pl-PL" w:bidi="ar-SA"/>
              </w:rPr>
              <w:t>Wyrób nowy, medyczny, atestowany.</w:t>
            </w:r>
          </w:p>
        </w:tc>
        <w:tc>
          <w:tcPr>
            <w:tcW w:w="108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snapToGrid w:val="false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</w:r>
          </w:p>
        </w:tc>
        <w:tc>
          <w:tcPr>
            <w:tcW w:w="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Zawartotabeli"/>
              <w:snapToGrid w:val="false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Zawartotabeli"/>
              <w:snapToGrid w:val="false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</w:r>
          </w:p>
        </w:tc>
        <w:tc>
          <w:tcPr>
            <w:tcW w:w="10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Zawartotabeli"/>
              <w:snapToGrid w:val="false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</w:r>
          </w:p>
        </w:tc>
      </w:tr>
      <w:tr>
        <w:trPr/>
        <w:tc>
          <w:tcPr>
            <w:tcW w:w="536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numPr>
                <w:ilvl w:val="0"/>
                <w:numId w:val="14"/>
              </w:numPr>
              <w:suppressLineNumbers/>
              <w:suppressAutoHyphens w:val="true"/>
              <w:bidi w:val="0"/>
              <w:spacing w:before="0" w:after="0"/>
              <w:ind w:hanging="624" w:left="737" w:right="57"/>
              <w:jc w:val="left"/>
              <w:textAlignment w:val="baseline"/>
              <w:rPr/>
            </w:pPr>
            <w:r>
              <w:rPr/>
            </w:r>
          </w:p>
        </w:tc>
        <w:tc>
          <w:tcPr>
            <w:tcW w:w="296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/>
                <w:b w:val="false"/>
                <w:bCs w:val="false"/>
                <w:color w:val="000000"/>
                <w:sz w:val="22"/>
                <w:szCs w:val="22"/>
              </w:rPr>
              <w:t>wózek inwalidzki</w:t>
            </w:r>
          </w:p>
          <w:p>
            <w:pPr>
              <w:pStyle w:val="Zawartotabeli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  <w:t>prysznicowy</w:t>
            </w:r>
          </w:p>
        </w:tc>
        <w:tc>
          <w:tcPr>
            <w:tcW w:w="4720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uppressAutoHyphens w:val="true"/>
              <w:spacing w:before="0" w:after="0"/>
              <w:jc w:val="both"/>
              <w:textAlignment w:val="auto"/>
              <w:rPr>
                <w:rFonts w:ascii="Calibri" w:hAnsi="Calibri" w:eastAsia="Times New Roman" w:cs="Calibri"/>
                <w:b w:val="false"/>
                <w:bCs w:val="false"/>
                <w:color w:val="000000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eastAsia="Times New Roman" w:cs="Calibri"/>
                <w:b w:val="false"/>
                <w:bCs w:val="false"/>
                <w:color w:val="000000"/>
                <w:kern w:val="0"/>
                <w:sz w:val="22"/>
                <w:szCs w:val="22"/>
                <w:lang w:eastAsia="pl-PL" w:bidi="ar-SA"/>
              </w:rPr>
              <w:t xml:space="preserve">Wykonany z  aluminium odporne na działanie wody </w:t>
              <w:br/>
              <w:t xml:space="preserve">a elementy łączące części ze stali nierdzewnej, </w:t>
              <w:br/>
              <w:t>z możliwością najechania nad muszlę toaletową,</w:t>
            </w:r>
          </w:p>
          <w:p>
            <w:pPr>
              <w:pStyle w:val="Normal"/>
              <w:numPr>
                <w:ilvl w:val="0"/>
                <w:numId w:val="6"/>
              </w:numPr>
              <w:suppressAutoHyphens w:val="false"/>
              <w:spacing w:before="0" w:after="0"/>
              <w:textAlignment w:val="auto"/>
              <w:rPr>
                <w:rFonts w:ascii="Calibri" w:hAnsi="Calibri" w:eastAsia="Times New Roman" w:cs="Calibri"/>
                <w:b w:val="false"/>
                <w:bCs w:val="false"/>
                <w:color w:val="000000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eastAsia="Times New Roman" w:cs="Calibri"/>
                <w:b w:val="false"/>
                <w:bCs w:val="false"/>
                <w:color w:val="000000"/>
                <w:kern w:val="0"/>
                <w:sz w:val="22"/>
                <w:szCs w:val="22"/>
                <w:lang w:eastAsia="pl-PL" w:bidi="ar-SA"/>
              </w:rPr>
              <w:t>podnoszone podłokietniki,</w:t>
            </w:r>
          </w:p>
          <w:p>
            <w:pPr>
              <w:pStyle w:val="Normal"/>
              <w:numPr>
                <w:ilvl w:val="0"/>
                <w:numId w:val="6"/>
              </w:numPr>
              <w:suppressAutoHyphens w:val="false"/>
              <w:spacing w:before="0" w:after="0"/>
              <w:textAlignment w:val="auto"/>
              <w:rPr>
                <w:rFonts w:ascii="Calibri" w:hAnsi="Calibri" w:eastAsia="Times New Roman" w:cs="Calibri"/>
                <w:b w:val="false"/>
                <w:bCs w:val="false"/>
                <w:color w:val="000000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eastAsia="Times New Roman" w:cs="Calibri"/>
                <w:b w:val="false"/>
                <w:bCs w:val="false"/>
                <w:color w:val="000000"/>
                <w:kern w:val="0"/>
                <w:sz w:val="22"/>
                <w:szCs w:val="22"/>
                <w:lang w:eastAsia="pl-PL" w:bidi="ar-SA"/>
              </w:rPr>
              <w:t>odchylany podnóżek i chowany pod siedzisko</w:t>
            </w:r>
          </w:p>
          <w:p>
            <w:pPr>
              <w:pStyle w:val="Normal"/>
              <w:numPr>
                <w:ilvl w:val="0"/>
                <w:numId w:val="6"/>
              </w:numPr>
              <w:suppressAutoHyphens w:val="true"/>
              <w:spacing w:before="0" w:after="0"/>
              <w:textAlignment w:val="auto"/>
              <w:rPr>
                <w:rFonts w:ascii="Calibri" w:hAnsi="Calibri" w:eastAsia="Times New Roman" w:cs="Calibri"/>
                <w:b w:val="false"/>
                <w:bCs w:val="false"/>
                <w:color w:val="000000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eastAsia="Times New Roman" w:cs="Calibri"/>
                <w:b w:val="false"/>
                <w:bCs w:val="false"/>
                <w:color w:val="000000"/>
                <w:kern w:val="0"/>
                <w:sz w:val="22"/>
                <w:szCs w:val="22"/>
                <w:lang w:eastAsia="pl-PL" w:bidi="ar-SA"/>
              </w:rPr>
              <w:t>anatomicznie uformowane siedzisko z otworem higienicznym,</w:t>
            </w:r>
          </w:p>
          <w:p>
            <w:pPr>
              <w:pStyle w:val="Normal"/>
              <w:numPr>
                <w:ilvl w:val="0"/>
                <w:numId w:val="6"/>
              </w:numPr>
              <w:suppressAutoHyphens w:val="true"/>
              <w:spacing w:before="0" w:after="0"/>
              <w:textAlignment w:val="auto"/>
              <w:rPr>
                <w:rFonts w:ascii="Calibri" w:hAnsi="Calibri" w:eastAsia="Times New Roman" w:cs="Calibri"/>
                <w:b w:val="false"/>
                <w:bCs w:val="false"/>
                <w:color w:val="000000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eastAsia="Times New Roman" w:cs="Calibri"/>
                <w:b w:val="false"/>
                <w:bCs w:val="false"/>
                <w:color w:val="000000"/>
                <w:kern w:val="0"/>
                <w:sz w:val="22"/>
                <w:szCs w:val="22"/>
                <w:lang w:eastAsia="pl-PL" w:bidi="ar-SA"/>
              </w:rPr>
              <w:t>zdejmowane oparcie dla łatwiejszego transportu i przechowywania</w:t>
            </w:r>
          </w:p>
          <w:p>
            <w:pPr>
              <w:pStyle w:val="Normal"/>
              <w:numPr>
                <w:ilvl w:val="0"/>
                <w:numId w:val="6"/>
              </w:numPr>
              <w:suppressAutoHyphens w:val="false"/>
              <w:spacing w:before="0" w:after="0"/>
              <w:textAlignment w:val="auto"/>
              <w:rPr>
                <w:rFonts w:ascii="Calibri" w:hAnsi="Calibri" w:eastAsia="Times New Roman" w:cs="Calibri"/>
                <w:b w:val="false"/>
                <w:bCs w:val="false"/>
                <w:color w:val="000000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eastAsia="Times New Roman" w:cs="Calibri"/>
                <w:b w:val="false"/>
                <w:bCs w:val="false"/>
                <w:color w:val="000000"/>
                <w:kern w:val="0"/>
                <w:sz w:val="22"/>
                <w:szCs w:val="22"/>
                <w:lang w:eastAsia="pl-PL" w:bidi="ar-SA"/>
              </w:rPr>
              <w:t>możliwość najechania nad muszlę toaletową</w:t>
            </w:r>
          </w:p>
          <w:p>
            <w:pPr>
              <w:pStyle w:val="Normal"/>
              <w:numPr>
                <w:ilvl w:val="0"/>
                <w:numId w:val="6"/>
              </w:numPr>
              <w:suppressAutoHyphens w:val="false"/>
              <w:spacing w:before="0" w:after="0"/>
              <w:textAlignment w:val="auto"/>
              <w:rPr>
                <w:rFonts w:ascii="Calibri" w:hAnsi="Calibri" w:eastAsia="Times New Roman" w:cs="Calibri"/>
                <w:b w:val="false"/>
                <w:bCs w:val="false"/>
                <w:color w:val="000000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eastAsia="Times New Roman" w:cs="Calibri"/>
                <w:b w:val="false"/>
                <w:bCs w:val="false"/>
                <w:color w:val="000000"/>
                <w:kern w:val="0"/>
                <w:sz w:val="22"/>
                <w:szCs w:val="22"/>
                <w:lang w:eastAsia="pl-PL" w:bidi="ar-SA"/>
              </w:rPr>
              <w:t>wysokość najazdowa 45 cm +-2cm</w:t>
            </w:r>
          </w:p>
          <w:p>
            <w:pPr>
              <w:pStyle w:val="Normal"/>
              <w:numPr>
                <w:ilvl w:val="0"/>
                <w:numId w:val="6"/>
              </w:numPr>
              <w:suppressAutoHyphens w:val="false"/>
              <w:spacing w:before="0" w:after="0"/>
              <w:textAlignment w:val="auto"/>
              <w:rPr>
                <w:rFonts w:ascii="Calibri" w:hAnsi="Calibri" w:eastAsia="Times New Roman" w:cs="Calibri"/>
                <w:b w:val="false"/>
                <w:bCs w:val="false"/>
                <w:color w:val="000000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eastAsia="Times New Roman" w:cs="Calibri"/>
                <w:b w:val="false"/>
                <w:bCs w:val="false"/>
                <w:color w:val="000000"/>
                <w:kern w:val="0"/>
                <w:sz w:val="22"/>
                <w:szCs w:val="22"/>
                <w:lang w:eastAsia="pl-PL" w:bidi="ar-SA"/>
              </w:rPr>
              <w:t>Maksymalna waga użytkownika min 120 kg</w:t>
            </w:r>
          </w:p>
          <w:p>
            <w:pPr>
              <w:pStyle w:val="Normal"/>
              <w:numPr>
                <w:ilvl w:val="0"/>
                <w:numId w:val="6"/>
              </w:numPr>
              <w:suppressAutoHyphens w:val="false"/>
              <w:spacing w:before="0" w:after="0"/>
              <w:textAlignment w:val="auto"/>
              <w:rPr>
                <w:rFonts w:ascii="Calibri" w:hAnsi="Calibri" w:eastAsia="Times New Roman" w:cs="Calibri"/>
                <w:b w:val="false"/>
                <w:bCs w:val="false"/>
                <w:color w:val="000000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eastAsia="Times New Roman" w:cs="Calibri"/>
                <w:b w:val="false"/>
                <w:bCs w:val="false"/>
                <w:color w:val="000000"/>
                <w:kern w:val="0"/>
                <w:sz w:val="22"/>
                <w:szCs w:val="22"/>
                <w:lang w:eastAsia="pl-PL" w:bidi="ar-SA"/>
              </w:rPr>
              <w:t>Wyrób nowy, medyczny, atestowany.</w:t>
            </w:r>
          </w:p>
        </w:tc>
        <w:tc>
          <w:tcPr>
            <w:tcW w:w="108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snapToGrid w:val="false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</w:r>
          </w:p>
        </w:tc>
        <w:tc>
          <w:tcPr>
            <w:tcW w:w="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Zawartotabeli"/>
              <w:snapToGrid w:val="false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Zawartotabeli"/>
              <w:snapToGrid w:val="false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</w:r>
          </w:p>
        </w:tc>
        <w:tc>
          <w:tcPr>
            <w:tcW w:w="10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Zawartotabeli"/>
              <w:snapToGrid w:val="false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</w:r>
          </w:p>
        </w:tc>
      </w:tr>
      <w:tr>
        <w:trPr/>
        <w:tc>
          <w:tcPr>
            <w:tcW w:w="536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numPr>
                <w:ilvl w:val="0"/>
                <w:numId w:val="14"/>
              </w:numPr>
              <w:suppressLineNumbers/>
              <w:suppressAutoHyphens w:val="true"/>
              <w:bidi w:val="0"/>
              <w:snapToGrid w:val="false"/>
              <w:spacing w:before="0" w:after="0"/>
              <w:ind w:hanging="624" w:left="737" w:right="57"/>
              <w:jc w:val="left"/>
              <w:textAlignment w:val="baseline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</w:r>
          </w:p>
        </w:tc>
        <w:tc>
          <w:tcPr>
            <w:tcW w:w="296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/>
                <w:b w:val="false"/>
                <w:bCs w:val="false"/>
                <w:color w:val="000000"/>
                <w:sz w:val="22"/>
                <w:szCs w:val="22"/>
              </w:rPr>
              <w:t>ciśnieniomierz</w:t>
            </w:r>
          </w:p>
        </w:tc>
        <w:tc>
          <w:tcPr>
            <w:tcW w:w="4720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numPr>
                <w:ilvl w:val="0"/>
                <w:numId w:val="7"/>
              </w:numPr>
              <w:suppressAutoHyphens w:val="false"/>
              <w:spacing w:before="0" w:after="0"/>
              <w:textAlignment w:val="auto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/>
                <w:b w:val="false"/>
                <w:bCs w:val="false"/>
                <w:color w:val="000000"/>
                <w:sz w:val="22"/>
                <w:szCs w:val="22"/>
              </w:rPr>
              <w:t>Wskaźnik nieregularnej pracy serca – arytmii (IHB – Irregular Heart Beat)</w:t>
            </w:r>
          </w:p>
          <w:p>
            <w:pPr>
              <w:pStyle w:val="Normal"/>
              <w:numPr>
                <w:ilvl w:val="0"/>
                <w:numId w:val="7"/>
              </w:numPr>
              <w:suppressAutoHyphens w:val="false"/>
              <w:spacing w:before="0" w:after="0"/>
              <w:textAlignment w:val="auto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/>
                <w:b w:val="false"/>
                <w:bCs w:val="false"/>
                <w:color w:val="000000"/>
                <w:sz w:val="22"/>
                <w:szCs w:val="22"/>
              </w:rPr>
              <w:t>Interpretacja wyniku w skali WHO (Światowej Organizacji Zdrowia)</w:t>
            </w:r>
          </w:p>
          <w:p>
            <w:pPr>
              <w:pStyle w:val="Normal"/>
              <w:numPr>
                <w:ilvl w:val="0"/>
                <w:numId w:val="7"/>
              </w:numPr>
              <w:suppressAutoHyphens w:val="false"/>
              <w:spacing w:before="0" w:after="0"/>
              <w:textAlignment w:val="auto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/>
                <w:b w:val="false"/>
                <w:bCs w:val="false"/>
                <w:color w:val="000000"/>
                <w:sz w:val="22"/>
                <w:szCs w:val="22"/>
              </w:rPr>
              <w:t>Duży, kontrastowy ekran LCD</w:t>
            </w:r>
          </w:p>
          <w:p>
            <w:pPr>
              <w:pStyle w:val="Normal"/>
              <w:numPr>
                <w:ilvl w:val="0"/>
                <w:numId w:val="7"/>
              </w:numPr>
              <w:suppressAutoHyphens w:val="false"/>
              <w:spacing w:before="0" w:after="0"/>
              <w:textAlignment w:val="auto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/>
                <w:b w:val="false"/>
                <w:bCs w:val="false"/>
                <w:color w:val="000000"/>
                <w:sz w:val="22"/>
                <w:szCs w:val="22"/>
              </w:rPr>
              <w:t>Dokładność wskazania ciśnienia: ±3mmHg</w:t>
            </w:r>
          </w:p>
          <w:p>
            <w:pPr>
              <w:pStyle w:val="Normal"/>
              <w:numPr>
                <w:ilvl w:val="0"/>
                <w:numId w:val="7"/>
              </w:numPr>
              <w:suppressAutoHyphens w:val="false"/>
              <w:spacing w:before="0" w:after="0"/>
              <w:textAlignment w:val="auto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/>
                <w:b w:val="false"/>
                <w:bCs w:val="false"/>
                <w:color w:val="000000"/>
                <w:sz w:val="22"/>
                <w:szCs w:val="22"/>
              </w:rPr>
              <w:t>Dokładność wskazania tętna: ±4%</w:t>
            </w:r>
          </w:p>
          <w:p>
            <w:pPr>
              <w:pStyle w:val="Normal"/>
              <w:numPr>
                <w:ilvl w:val="0"/>
                <w:numId w:val="7"/>
              </w:numPr>
              <w:suppressAutoHyphens w:val="false"/>
              <w:spacing w:before="0" w:after="0"/>
              <w:textAlignment w:val="auto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/>
                <w:b w:val="false"/>
                <w:bCs w:val="false"/>
                <w:color w:val="000000"/>
                <w:sz w:val="22"/>
                <w:szCs w:val="22"/>
              </w:rPr>
              <w:t>Dwa kanały pomiarowe dla dwóch osób</w:t>
            </w:r>
          </w:p>
          <w:p>
            <w:pPr>
              <w:pStyle w:val="Normal"/>
              <w:numPr>
                <w:ilvl w:val="0"/>
                <w:numId w:val="7"/>
              </w:numPr>
              <w:suppressAutoHyphens w:val="false"/>
              <w:spacing w:before="0" w:after="0"/>
              <w:textAlignment w:val="auto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/>
                <w:b w:val="false"/>
                <w:bCs w:val="false"/>
                <w:color w:val="000000"/>
                <w:sz w:val="22"/>
                <w:szCs w:val="22"/>
              </w:rPr>
              <w:t>Uniwersalny mankiet o dużym zakresie regulacji 22-42 cm</w:t>
            </w:r>
          </w:p>
          <w:p>
            <w:pPr>
              <w:pStyle w:val="Normal"/>
              <w:numPr>
                <w:ilvl w:val="0"/>
                <w:numId w:val="7"/>
              </w:numPr>
              <w:suppressAutoHyphens w:val="false"/>
              <w:spacing w:before="0" w:after="0"/>
              <w:textAlignment w:val="auto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/>
                <w:b w:val="false"/>
                <w:bCs w:val="false"/>
                <w:color w:val="000000"/>
                <w:sz w:val="22"/>
                <w:szCs w:val="22"/>
              </w:rPr>
              <w:t>Zakres pomiaru: skurczowe: 30–280 mmHg+-5mmHg, rozkurczowe: 40–199 mmHg +-5mmHg</w:t>
            </w:r>
          </w:p>
          <w:p>
            <w:pPr>
              <w:pStyle w:val="Normal"/>
              <w:numPr>
                <w:ilvl w:val="0"/>
                <w:numId w:val="7"/>
              </w:numPr>
              <w:suppressAutoHyphens w:val="true"/>
              <w:spacing w:before="0" w:after="0"/>
              <w:textAlignment w:val="auto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/>
                <w:b w:val="false"/>
                <w:bCs w:val="false"/>
                <w:color w:val="000000"/>
                <w:sz w:val="22"/>
                <w:szCs w:val="22"/>
              </w:rPr>
              <w:t>Zakres pomiaru tętna: 40-199 uderzeń/minutę</w:t>
            </w:r>
          </w:p>
          <w:p>
            <w:pPr>
              <w:pStyle w:val="Normal"/>
              <w:numPr>
                <w:ilvl w:val="0"/>
                <w:numId w:val="7"/>
              </w:numPr>
              <w:suppressAutoHyphens w:val="false"/>
              <w:spacing w:before="0" w:after="0"/>
              <w:textAlignment w:val="auto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/>
                <w:b w:val="false"/>
                <w:bCs w:val="false"/>
                <w:color w:val="000000"/>
                <w:sz w:val="22"/>
                <w:szCs w:val="22"/>
              </w:rPr>
              <w:t>Zasilacz sieciowy klasy medycznej</w:t>
            </w:r>
          </w:p>
          <w:p>
            <w:pPr>
              <w:pStyle w:val="Normal"/>
              <w:numPr>
                <w:ilvl w:val="0"/>
                <w:numId w:val="7"/>
              </w:numPr>
              <w:suppressAutoHyphens w:val="false"/>
              <w:spacing w:before="0" w:after="0"/>
              <w:textAlignment w:val="auto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/>
                <w:b w:val="false"/>
                <w:bCs w:val="false"/>
                <w:color w:val="000000"/>
                <w:sz w:val="22"/>
                <w:szCs w:val="22"/>
              </w:rPr>
              <w:t>Możliwość zasilania bateryjnego</w:t>
            </w:r>
          </w:p>
          <w:p>
            <w:pPr>
              <w:pStyle w:val="Normal"/>
              <w:numPr>
                <w:ilvl w:val="0"/>
                <w:numId w:val="7"/>
              </w:numPr>
              <w:suppressAutoHyphens w:val="false"/>
              <w:spacing w:before="0" w:after="0"/>
              <w:textAlignment w:val="auto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/>
                <w:b w:val="false"/>
                <w:bCs w:val="false"/>
                <w:color w:val="000000"/>
                <w:sz w:val="22"/>
                <w:szCs w:val="22"/>
              </w:rPr>
              <w:t xml:space="preserve"> </w:t>
            </w:r>
            <w:r>
              <w:rPr>
                <w:rFonts w:cs="Calibri"/>
                <w:b w:val="false"/>
                <w:bCs w:val="false"/>
                <w:color w:val="000000"/>
                <w:sz w:val="22"/>
                <w:szCs w:val="22"/>
              </w:rPr>
              <w:t>Automatyczne wyłączenie</w:t>
            </w:r>
          </w:p>
          <w:p>
            <w:pPr>
              <w:pStyle w:val="Normal"/>
              <w:numPr>
                <w:ilvl w:val="0"/>
                <w:numId w:val="7"/>
              </w:numPr>
              <w:suppressAutoHyphens w:val="false"/>
              <w:spacing w:before="0" w:after="0"/>
              <w:textAlignment w:val="auto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/>
                <w:b w:val="false"/>
                <w:bCs w:val="false"/>
                <w:color w:val="000000"/>
                <w:sz w:val="22"/>
                <w:szCs w:val="22"/>
              </w:rPr>
              <w:t>Wskaźnik zużycia baterii</w:t>
            </w:r>
          </w:p>
          <w:p>
            <w:pPr>
              <w:pStyle w:val="Normal"/>
              <w:numPr>
                <w:ilvl w:val="0"/>
                <w:numId w:val="7"/>
              </w:numPr>
              <w:suppressAutoHyphens w:val="false"/>
              <w:spacing w:before="0" w:after="0"/>
              <w:textAlignment w:val="auto"/>
              <w:rPr>
                <w:rFonts w:ascii="Calibri" w:hAnsi="Calibri" w:eastAsia="Times New Roman" w:cs="Calibri"/>
                <w:b w:val="false"/>
                <w:bCs w:val="false"/>
                <w:color w:val="000000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eastAsia="Times New Roman" w:cs="Calibri"/>
                <w:b w:val="false"/>
                <w:bCs w:val="false"/>
                <w:color w:val="000000"/>
                <w:kern w:val="0"/>
                <w:sz w:val="22"/>
                <w:szCs w:val="22"/>
                <w:lang w:eastAsia="pl-PL" w:bidi="ar-SA"/>
              </w:rPr>
              <w:t>Wyrób nowy, medyczny, atestowany.</w:t>
            </w:r>
          </w:p>
        </w:tc>
        <w:tc>
          <w:tcPr>
            <w:tcW w:w="108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snapToGrid w:val="false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</w:r>
          </w:p>
        </w:tc>
        <w:tc>
          <w:tcPr>
            <w:tcW w:w="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Zawartotabeli"/>
              <w:snapToGrid w:val="false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Zawartotabeli"/>
              <w:snapToGrid w:val="false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</w:r>
          </w:p>
        </w:tc>
        <w:tc>
          <w:tcPr>
            <w:tcW w:w="10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Zawartotabeli"/>
              <w:snapToGrid w:val="false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</w:r>
          </w:p>
        </w:tc>
      </w:tr>
      <w:tr>
        <w:trPr/>
        <w:tc>
          <w:tcPr>
            <w:tcW w:w="536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numPr>
                <w:ilvl w:val="0"/>
                <w:numId w:val="14"/>
              </w:numPr>
              <w:suppressLineNumbers/>
              <w:suppressAutoHyphens w:val="true"/>
              <w:bidi w:val="0"/>
              <w:snapToGrid w:val="false"/>
              <w:spacing w:before="0" w:after="0"/>
              <w:ind w:hanging="624" w:left="737" w:right="57"/>
              <w:jc w:val="left"/>
              <w:textAlignment w:val="baseline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</w:r>
          </w:p>
        </w:tc>
        <w:tc>
          <w:tcPr>
            <w:tcW w:w="296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/>
                <w:b w:val="false"/>
                <w:bCs w:val="false"/>
                <w:color w:val="000000"/>
                <w:sz w:val="22"/>
                <w:szCs w:val="22"/>
              </w:rPr>
              <w:t>wózek inwalidzki</w:t>
            </w:r>
          </w:p>
        </w:tc>
        <w:tc>
          <w:tcPr>
            <w:tcW w:w="4720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Heading1"/>
              <w:numPr>
                <w:ilvl w:val="0"/>
                <w:numId w:val="0"/>
              </w:numPr>
              <w:spacing w:before="0" w:after="0"/>
              <w:ind w:hanging="0" w:left="0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  <w:t>aluminiowy wózek inwalidzki z regulacją</w:t>
            </w:r>
          </w:p>
          <w:p>
            <w:pPr>
              <w:pStyle w:val="Normal"/>
              <w:numPr>
                <w:ilvl w:val="0"/>
                <w:numId w:val="12"/>
              </w:numPr>
              <w:suppressAutoHyphens w:val="false"/>
              <w:spacing w:before="0" w:after="0"/>
              <w:ind w:hanging="360" w:left="360" w:right="0"/>
              <w:textAlignment w:val="auto"/>
              <w:rPr/>
            </w:pPr>
            <w:r>
              <w:rPr>
                <w:rFonts w:eastAsia="Times New Roman" w:cs="Calibri"/>
                <w:b w:val="false"/>
                <w:bCs w:val="false"/>
                <w:color w:val="000000"/>
                <w:kern w:val="0"/>
                <w:sz w:val="22"/>
                <w:szCs w:val="22"/>
                <w:lang w:eastAsia="pl-PL" w:bidi="ar-SA"/>
              </w:rPr>
              <w:t>Rodzaj wózk: Wózek ręczny</w:t>
            </w:r>
          </w:p>
          <w:p>
            <w:pPr>
              <w:pStyle w:val="Normal"/>
              <w:numPr>
                <w:ilvl w:val="0"/>
                <w:numId w:val="8"/>
              </w:numPr>
              <w:suppressAutoHyphens w:val="false"/>
              <w:spacing w:before="0" w:after="0"/>
              <w:textAlignment w:val="auto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/>
                <w:b w:val="false"/>
                <w:bCs w:val="false"/>
                <w:color w:val="000000"/>
                <w:sz w:val="22"/>
                <w:szCs w:val="22"/>
              </w:rPr>
              <w:t>Miękkie oparcie oraz poduszka na siedzisko</w:t>
            </w:r>
          </w:p>
          <w:p>
            <w:pPr>
              <w:pStyle w:val="Normal"/>
              <w:numPr>
                <w:ilvl w:val="0"/>
                <w:numId w:val="8"/>
              </w:numPr>
              <w:suppressAutoHyphens w:val="false"/>
              <w:spacing w:before="0" w:after="0"/>
              <w:textAlignment w:val="auto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/>
                <w:b w:val="false"/>
                <w:bCs w:val="false"/>
                <w:color w:val="000000"/>
                <w:sz w:val="22"/>
                <w:szCs w:val="22"/>
              </w:rPr>
              <w:t>Łamane oparcie, uchylne podnóżki</w:t>
            </w:r>
          </w:p>
          <w:p>
            <w:pPr>
              <w:pStyle w:val="Normal"/>
              <w:numPr>
                <w:ilvl w:val="0"/>
                <w:numId w:val="9"/>
              </w:numPr>
              <w:suppressAutoHyphens w:val="false"/>
              <w:spacing w:before="0" w:after="0"/>
              <w:textAlignment w:val="auto"/>
              <w:rPr>
                <w:rFonts w:ascii="Calibri" w:hAnsi="Calibri" w:eastAsia="Times New Roman" w:cs="Calibri"/>
                <w:b w:val="false"/>
                <w:bCs w:val="false"/>
                <w:color w:val="000000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eastAsia="Times New Roman" w:cs="Calibri"/>
                <w:b w:val="false"/>
                <w:bCs w:val="false"/>
                <w:color w:val="000000"/>
                <w:kern w:val="0"/>
                <w:sz w:val="22"/>
                <w:szCs w:val="22"/>
                <w:lang w:eastAsia="pl-PL" w:bidi="ar-SA"/>
              </w:rPr>
              <w:t>Funkcja szybkiego montażu/demontażu kół</w:t>
            </w:r>
          </w:p>
          <w:p>
            <w:pPr>
              <w:pStyle w:val="Normal"/>
              <w:numPr>
                <w:ilvl w:val="0"/>
                <w:numId w:val="9"/>
              </w:numPr>
              <w:suppressAutoHyphens w:val="false"/>
              <w:spacing w:before="0" w:after="0"/>
              <w:textAlignment w:val="auto"/>
              <w:rPr>
                <w:rFonts w:ascii="Calibri" w:hAnsi="Calibri" w:eastAsia="Times New Roman" w:cs="Calibri"/>
                <w:b w:val="false"/>
                <w:bCs w:val="false"/>
                <w:color w:val="000000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eastAsia="Times New Roman" w:cs="Calibri"/>
                <w:b w:val="false"/>
                <w:bCs w:val="false"/>
                <w:color w:val="000000"/>
                <w:kern w:val="0"/>
                <w:sz w:val="22"/>
                <w:szCs w:val="22"/>
                <w:lang w:eastAsia="pl-PL" w:bidi="ar-SA"/>
              </w:rPr>
              <w:t>Waga wózka (14-18 kg)</w:t>
            </w:r>
          </w:p>
          <w:p>
            <w:pPr>
              <w:pStyle w:val="Normal"/>
              <w:numPr>
                <w:ilvl w:val="0"/>
                <w:numId w:val="10"/>
              </w:numPr>
              <w:suppressAutoHyphens w:val="false"/>
              <w:spacing w:before="0" w:after="0"/>
              <w:textAlignment w:val="auto"/>
              <w:rPr>
                <w:rFonts w:ascii="Calibri" w:hAnsi="Calibri" w:eastAsia="Times New Roman" w:cs="Calibri"/>
                <w:b w:val="false"/>
                <w:bCs w:val="false"/>
                <w:color w:val="000000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eastAsia="Times New Roman" w:cs="Calibri"/>
                <w:b w:val="false"/>
                <w:bCs w:val="false"/>
                <w:color w:val="000000"/>
                <w:kern w:val="0"/>
                <w:sz w:val="22"/>
                <w:szCs w:val="22"/>
                <w:lang w:eastAsia="pl-PL" w:bidi="ar-SA"/>
              </w:rPr>
              <w:t>Ciężar osoby przewożonej min 110 kilogramów.</w:t>
            </w:r>
          </w:p>
          <w:p>
            <w:pPr>
              <w:pStyle w:val="Normal"/>
              <w:numPr>
                <w:ilvl w:val="0"/>
                <w:numId w:val="10"/>
              </w:numPr>
              <w:suppressAutoHyphens w:val="false"/>
              <w:spacing w:before="0" w:after="0"/>
              <w:textAlignment w:val="auto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eastAsia="Times New Roman" w:cs="Calibri"/>
                <w:b w:val="false"/>
                <w:bCs w:val="false"/>
                <w:color w:val="000000"/>
                <w:kern w:val="0"/>
                <w:sz w:val="22"/>
                <w:szCs w:val="22"/>
                <w:lang w:eastAsia="pl-PL" w:bidi="ar-SA"/>
              </w:rPr>
              <w:t>Gumowe koła przednie.</w:t>
            </w:r>
          </w:p>
          <w:p>
            <w:pPr>
              <w:pStyle w:val="Normal"/>
              <w:numPr>
                <w:ilvl w:val="0"/>
                <w:numId w:val="11"/>
              </w:numPr>
              <w:suppressAutoHyphens w:val="false"/>
              <w:spacing w:before="0" w:after="0"/>
              <w:textAlignment w:val="auto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/>
                <w:b w:val="false"/>
                <w:bCs w:val="false"/>
                <w:color w:val="000000"/>
                <w:sz w:val="22"/>
                <w:szCs w:val="22"/>
              </w:rPr>
              <w:t>Pas bezpieczeństwa.</w:t>
            </w:r>
          </w:p>
          <w:p>
            <w:pPr>
              <w:pStyle w:val="Normal"/>
              <w:numPr>
                <w:ilvl w:val="0"/>
                <w:numId w:val="11"/>
              </w:numPr>
              <w:suppressAutoHyphens w:val="false"/>
              <w:spacing w:before="0" w:after="0"/>
              <w:textAlignment w:val="auto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/>
                <w:b w:val="false"/>
                <w:bCs w:val="false"/>
                <w:color w:val="000000"/>
                <w:sz w:val="22"/>
                <w:szCs w:val="22"/>
              </w:rPr>
              <w:t>Poduszka.</w:t>
            </w:r>
          </w:p>
          <w:p>
            <w:pPr>
              <w:pStyle w:val="Normal"/>
              <w:numPr>
                <w:ilvl w:val="0"/>
                <w:numId w:val="11"/>
              </w:numPr>
              <w:suppressAutoHyphens w:val="false"/>
              <w:spacing w:before="0" w:after="0"/>
              <w:textAlignment w:val="auto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/>
                <w:b w:val="false"/>
                <w:bCs w:val="false"/>
                <w:color w:val="000000"/>
                <w:sz w:val="22"/>
                <w:szCs w:val="22"/>
              </w:rPr>
              <w:t>Taśma zabezpieczająca łydki.</w:t>
            </w:r>
          </w:p>
          <w:p>
            <w:pPr>
              <w:pStyle w:val="Normal"/>
              <w:numPr>
                <w:ilvl w:val="0"/>
                <w:numId w:val="12"/>
              </w:numPr>
              <w:suppressAutoHyphens w:val="false"/>
              <w:spacing w:before="0" w:after="0"/>
              <w:textAlignment w:val="auto"/>
              <w:rPr>
                <w:rFonts w:ascii="Calibri" w:hAnsi="Calibri" w:eastAsia="Times New Roman" w:cs="Calibri"/>
                <w:b w:val="false"/>
                <w:bCs w:val="false"/>
                <w:color w:val="000000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eastAsia="Times New Roman" w:cs="Calibri"/>
                <w:b w:val="false"/>
                <w:bCs w:val="false"/>
                <w:color w:val="000000"/>
                <w:kern w:val="0"/>
                <w:sz w:val="22"/>
                <w:szCs w:val="22"/>
                <w:lang w:eastAsia="pl-PL" w:bidi="ar-SA"/>
              </w:rPr>
              <w:t>Szerokość całkowita: 64-69 cm+-2cm</w:t>
            </w:r>
          </w:p>
          <w:p>
            <w:pPr>
              <w:pStyle w:val="Normal"/>
              <w:numPr>
                <w:ilvl w:val="0"/>
                <w:numId w:val="12"/>
              </w:numPr>
              <w:suppressAutoHyphens w:val="false"/>
              <w:spacing w:before="0" w:after="0"/>
              <w:textAlignment w:val="auto"/>
              <w:rPr>
                <w:rFonts w:ascii="Calibri" w:hAnsi="Calibri" w:eastAsia="Times New Roman" w:cs="Calibri"/>
                <w:b w:val="false"/>
                <w:bCs w:val="false"/>
                <w:color w:val="000000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eastAsia="Times New Roman" w:cs="Calibri"/>
                <w:b w:val="false"/>
                <w:bCs w:val="false"/>
                <w:color w:val="000000"/>
                <w:kern w:val="0"/>
                <w:sz w:val="22"/>
                <w:szCs w:val="22"/>
                <w:lang w:eastAsia="pl-PL" w:bidi="ar-SA"/>
              </w:rPr>
              <w:t>Głębokość całkowita: 106 cm +-2cm</w:t>
            </w:r>
          </w:p>
          <w:p>
            <w:pPr>
              <w:pStyle w:val="Normal"/>
              <w:numPr>
                <w:ilvl w:val="0"/>
                <w:numId w:val="12"/>
              </w:numPr>
              <w:suppressAutoHyphens w:val="false"/>
              <w:spacing w:before="0" w:after="0"/>
              <w:textAlignment w:val="auto"/>
              <w:rPr>
                <w:rFonts w:ascii="Calibri" w:hAnsi="Calibri" w:eastAsia="Times New Roman" w:cs="Calibri"/>
                <w:b w:val="false"/>
                <w:bCs w:val="false"/>
                <w:color w:val="000000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eastAsia="Times New Roman" w:cs="Calibri"/>
                <w:b w:val="false"/>
                <w:bCs w:val="false"/>
                <w:color w:val="000000"/>
                <w:kern w:val="0"/>
                <w:sz w:val="22"/>
                <w:szCs w:val="22"/>
                <w:lang w:eastAsia="pl-PL" w:bidi="ar-SA"/>
              </w:rPr>
              <w:t>Wysokość siedziska od podłoża: 47 cm</w:t>
            </w:r>
          </w:p>
          <w:p>
            <w:pPr>
              <w:pStyle w:val="Normal"/>
              <w:numPr>
                <w:ilvl w:val="0"/>
                <w:numId w:val="12"/>
              </w:numPr>
              <w:suppressAutoHyphens w:val="false"/>
              <w:spacing w:before="0" w:after="0"/>
              <w:textAlignment w:val="auto"/>
              <w:rPr>
                <w:rFonts w:ascii="Calibri" w:hAnsi="Calibri" w:eastAsia="Times New Roman" w:cs="Calibri"/>
                <w:b w:val="false"/>
                <w:bCs w:val="false"/>
                <w:color w:val="000000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eastAsia="Times New Roman" w:cs="Calibri"/>
                <w:b w:val="false"/>
                <w:bCs w:val="false"/>
                <w:color w:val="000000"/>
                <w:kern w:val="0"/>
                <w:sz w:val="22"/>
                <w:szCs w:val="22"/>
                <w:lang w:eastAsia="pl-PL" w:bidi="ar-SA"/>
              </w:rPr>
              <w:t>Hamulce dla osoby prowadzącej: Tak.</w:t>
            </w:r>
          </w:p>
          <w:p>
            <w:pPr>
              <w:pStyle w:val="Normal"/>
              <w:numPr>
                <w:ilvl w:val="0"/>
                <w:numId w:val="12"/>
              </w:numPr>
              <w:suppressAutoHyphens w:val="false"/>
              <w:spacing w:before="0" w:after="0"/>
              <w:textAlignment w:val="auto"/>
              <w:rPr>
                <w:rFonts w:ascii="Calibri" w:hAnsi="Calibri" w:eastAsia="Times New Roman" w:cs="Calibri"/>
                <w:b w:val="false"/>
                <w:bCs w:val="false"/>
                <w:color w:val="000000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eastAsia="Times New Roman" w:cs="Calibri"/>
                <w:b w:val="false"/>
                <w:bCs w:val="false"/>
                <w:color w:val="000000"/>
                <w:kern w:val="0"/>
                <w:sz w:val="22"/>
                <w:szCs w:val="22"/>
                <w:lang w:eastAsia="pl-PL" w:bidi="ar-SA"/>
              </w:rPr>
              <w:t>Możliwość składania wózka.</w:t>
            </w:r>
          </w:p>
          <w:p>
            <w:pPr>
              <w:pStyle w:val="Normal"/>
              <w:numPr>
                <w:ilvl w:val="0"/>
                <w:numId w:val="12"/>
              </w:numPr>
              <w:suppressAutoHyphens w:val="false"/>
              <w:spacing w:before="0" w:after="0"/>
              <w:textAlignment w:val="auto"/>
              <w:rPr>
                <w:rFonts w:ascii="Calibri" w:hAnsi="Calibri" w:eastAsia="Times New Roman" w:cs="Calibri"/>
                <w:b w:val="false"/>
                <w:bCs w:val="false"/>
                <w:color w:val="000000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eastAsia="Times New Roman" w:cs="Calibri"/>
                <w:b w:val="false"/>
                <w:bCs w:val="false"/>
                <w:color w:val="000000"/>
                <w:kern w:val="0"/>
                <w:sz w:val="22"/>
                <w:szCs w:val="22"/>
                <w:lang w:eastAsia="pl-PL" w:bidi="ar-SA"/>
              </w:rPr>
              <w:t>Funkcja regulacji środka ciężkości: Tak.</w:t>
            </w:r>
          </w:p>
          <w:p>
            <w:pPr>
              <w:pStyle w:val="Normal"/>
              <w:numPr>
                <w:ilvl w:val="0"/>
                <w:numId w:val="12"/>
              </w:numPr>
              <w:suppressAutoHyphens w:val="false"/>
              <w:spacing w:before="0" w:after="0"/>
              <w:textAlignment w:val="auto"/>
              <w:rPr>
                <w:rFonts w:ascii="Calibri" w:hAnsi="Calibri" w:eastAsia="Times New Roman" w:cs="Calibri"/>
                <w:b w:val="false"/>
                <w:bCs w:val="false"/>
                <w:color w:val="000000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eastAsia="Times New Roman" w:cs="Calibri"/>
                <w:b w:val="false"/>
                <w:bCs w:val="false"/>
                <w:color w:val="000000"/>
                <w:kern w:val="0"/>
                <w:sz w:val="22"/>
                <w:szCs w:val="22"/>
                <w:lang w:eastAsia="pl-PL" w:bidi="ar-SA"/>
              </w:rPr>
              <w:t>Rodzaj kół tylnych: Pompowane o średnicy min. 24".</w:t>
            </w:r>
          </w:p>
          <w:p>
            <w:pPr>
              <w:pStyle w:val="Normal"/>
              <w:numPr>
                <w:ilvl w:val="0"/>
                <w:numId w:val="12"/>
              </w:numPr>
              <w:suppressAutoHyphens w:val="false"/>
              <w:spacing w:before="0" w:after="0"/>
              <w:textAlignment w:val="auto"/>
              <w:rPr>
                <w:rFonts w:ascii="Calibri" w:hAnsi="Calibri" w:eastAsia="Times New Roman" w:cs="Calibri"/>
                <w:b w:val="false"/>
                <w:bCs w:val="false"/>
                <w:color w:val="000000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eastAsia="Times New Roman" w:cs="Calibri"/>
                <w:b w:val="false"/>
                <w:bCs w:val="false"/>
                <w:color w:val="000000"/>
                <w:kern w:val="0"/>
                <w:sz w:val="22"/>
                <w:szCs w:val="22"/>
                <w:lang w:eastAsia="pl-PL" w:bidi="ar-SA"/>
              </w:rPr>
              <w:t>Rodzaj kół przednich: Pełne.</w:t>
            </w:r>
          </w:p>
          <w:p>
            <w:pPr>
              <w:pStyle w:val="Normal"/>
              <w:numPr>
                <w:ilvl w:val="0"/>
                <w:numId w:val="12"/>
              </w:numPr>
              <w:suppressAutoHyphens w:val="false"/>
              <w:spacing w:before="0" w:after="0"/>
              <w:textAlignment w:val="auto"/>
              <w:rPr>
                <w:rFonts w:ascii="Calibri" w:hAnsi="Calibri" w:eastAsia="Times New Roman" w:cs="Calibri"/>
                <w:b w:val="false"/>
                <w:bCs w:val="false"/>
                <w:color w:val="000000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eastAsia="Times New Roman" w:cs="Calibri"/>
                <w:b w:val="false"/>
                <w:bCs w:val="false"/>
                <w:color w:val="000000"/>
                <w:kern w:val="0"/>
                <w:sz w:val="22"/>
                <w:szCs w:val="22"/>
                <w:lang w:eastAsia="pl-PL" w:bidi="ar-SA"/>
              </w:rPr>
              <w:t>Podnóżki: Uchylne, zdejmowalne.</w:t>
            </w:r>
          </w:p>
          <w:p>
            <w:pPr>
              <w:pStyle w:val="Normal"/>
              <w:numPr>
                <w:ilvl w:val="0"/>
                <w:numId w:val="12"/>
              </w:numPr>
              <w:suppressAutoHyphens w:val="false"/>
              <w:spacing w:before="0" w:after="0"/>
              <w:textAlignment w:val="auto"/>
              <w:rPr>
                <w:rFonts w:ascii="Calibri" w:hAnsi="Calibri" w:eastAsia="Times New Roman" w:cs="Calibri"/>
                <w:b w:val="false"/>
                <w:bCs w:val="false"/>
                <w:color w:val="000000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eastAsia="Times New Roman" w:cs="Calibri"/>
                <w:b w:val="false"/>
                <w:bCs w:val="false"/>
                <w:color w:val="000000"/>
                <w:kern w:val="0"/>
                <w:sz w:val="22"/>
                <w:szCs w:val="22"/>
                <w:lang w:eastAsia="pl-PL" w:bidi="ar-SA"/>
              </w:rPr>
              <w:t>Kieszeń na drobiazgi: Tak</w:t>
            </w:r>
          </w:p>
          <w:p>
            <w:pPr>
              <w:pStyle w:val="Normal"/>
              <w:numPr>
                <w:ilvl w:val="0"/>
                <w:numId w:val="12"/>
              </w:numPr>
              <w:suppressAutoHyphens w:val="false"/>
              <w:spacing w:before="0" w:after="0"/>
              <w:textAlignment w:val="auto"/>
              <w:rPr>
                <w:rFonts w:ascii="Calibri" w:hAnsi="Calibri" w:eastAsia="Times New Roman" w:cs="Calibri"/>
                <w:b w:val="false"/>
                <w:bCs w:val="false"/>
                <w:color w:val="000000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eastAsia="Times New Roman" w:cs="Calibri"/>
                <w:b w:val="false"/>
                <w:bCs w:val="false"/>
                <w:color w:val="000000"/>
                <w:kern w:val="0"/>
                <w:sz w:val="22"/>
                <w:szCs w:val="22"/>
                <w:lang w:eastAsia="pl-PL" w:bidi="ar-SA"/>
              </w:rPr>
              <w:t>Hamulec postojowy: Tak</w:t>
            </w:r>
          </w:p>
          <w:p>
            <w:pPr>
              <w:pStyle w:val="Normal"/>
              <w:numPr>
                <w:ilvl w:val="0"/>
                <w:numId w:val="12"/>
              </w:numPr>
              <w:suppressAutoHyphens w:val="false"/>
              <w:spacing w:before="0" w:after="0"/>
              <w:ind w:hanging="360" w:left="360" w:right="0"/>
              <w:textAlignment w:val="auto"/>
              <w:rPr/>
            </w:pPr>
            <w:r>
              <w:rPr>
                <w:rFonts w:eastAsia="Times New Roman" w:cs="Calibri"/>
                <w:b w:val="false"/>
                <w:bCs w:val="false"/>
                <w:color w:val="000000"/>
                <w:kern w:val="0"/>
                <w:sz w:val="22"/>
                <w:szCs w:val="22"/>
                <w:lang w:eastAsia="pl-PL" w:bidi="ar-SA"/>
              </w:rPr>
              <w:t>Kolor tapicerki: Czarny.</w:t>
            </w:r>
          </w:p>
        </w:tc>
        <w:tc>
          <w:tcPr>
            <w:tcW w:w="108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snapToGrid w:val="false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</w:r>
          </w:p>
        </w:tc>
        <w:tc>
          <w:tcPr>
            <w:tcW w:w="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Zawartotabeli"/>
              <w:snapToGrid w:val="false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Zawartotabeli"/>
              <w:snapToGrid w:val="false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</w:r>
          </w:p>
        </w:tc>
        <w:tc>
          <w:tcPr>
            <w:tcW w:w="10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Zawartotabeli"/>
              <w:snapToGrid w:val="false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</w:r>
          </w:p>
        </w:tc>
      </w:tr>
      <w:tr>
        <w:trPr/>
        <w:tc>
          <w:tcPr>
            <w:tcW w:w="536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numPr>
                <w:ilvl w:val="0"/>
                <w:numId w:val="14"/>
              </w:numPr>
              <w:suppressLineNumbers/>
              <w:suppressAutoHyphens w:val="true"/>
              <w:bidi w:val="0"/>
              <w:snapToGrid w:val="false"/>
              <w:spacing w:before="0" w:after="0"/>
              <w:ind w:hanging="624" w:left="737" w:right="57"/>
              <w:jc w:val="left"/>
              <w:textAlignment w:val="baseline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</w:r>
          </w:p>
        </w:tc>
        <w:tc>
          <w:tcPr>
            <w:tcW w:w="296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/>
                <w:b w:val="false"/>
                <w:bCs w:val="false"/>
                <w:color w:val="000000"/>
                <w:sz w:val="22"/>
                <w:szCs w:val="22"/>
              </w:rPr>
              <w:t>chodzik czterokołowy</w:t>
            </w:r>
          </w:p>
        </w:tc>
        <w:tc>
          <w:tcPr>
            <w:tcW w:w="4720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hd w:val="clear" w:fill="FFFFFF"/>
              <w:spacing w:lineRule="auto" w:line="240" w:before="0" w:after="0"/>
              <w:rPr>
                <w:rFonts w:ascii="Calibri" w:hAnsi="Calibri" w:eastAsia="Times New Roman" w:cs="Calibri"/>
                <w:b w:val="false"/>
                <w:bCs w:val="false"/>
                <w:color w:val="000000"/>
                <w:sz w:val="22"/>
                <w:szCs w:val="22"/>
                <w:lang w:eastAsia="pl-PL"/>
              </w:rPr>
            </w:pPr>
            <w:r>
              <w:rPr>
                <w:rFonts w:eastAsia="Times New Roman" w:cs="Calibri"/>
                <w:b w:val="false"/>
                <w:bCs w:val="false"/>
                <w:color w:val="000000"/>
                <w:sz w:val="22"/>
                <w:szCs w:val="22"/>
                <w:lang w:eastAsia="pl-PL"/>
              </w:rPr>
              <w:t>Balkonik rehabilitacyjny stały z kółkami.</w:t>
            </w:r>
          </w:p>
          <w:p>
            <w:pPr>
              <w:pStyle w:val="Zawartotabeli"/>
              <w:numPr>
                <w:ilvl w:val="0"/>
                <w:numId w:val="13"/>
              </w:numPr>
              <w:rPr>
                <w:rFonts w:ascii="Calibri" w:hAnsi="Calibri" w:eastAsia="Times New Roman" w:cs="Calibri"/>
                <w:b w:val="false"/>
                <w:bCs w:val="false"/>
                <w:color w:val="000000"/>
                <w:sz w:val="22"/>
                <w:szCs w:val="22"/>
                <w:lang w:eastAsia="pl-PL"/>
              </w:rPr>
            </w:pPr>
            <w:r>
              <w:rPr>
                <w:rFonts w:eastAsia="Times New Roman" w:cs="Calibri" w:ascii="Calibri" w:hAnsi="Calibri"/>
                <w:b w:val="false"/>
                <w:bCs w:val="false"/>
                <w:color w:val="000000"/>
                <w:sz w:val="22"/>
                <w:szCs w:val="22"/>
                <w:lang w:eastAsia="pl-PL"/>
              </w:rPr>
              <w:t>Aluminiowa konstrukcja,</w:t>
            </w:r>
          </w:p>
          <w:p>
            <w:pPr>
              <w:pStyle w:val="Zawartotabeli"/>
              <w:numPr>
                <w:ilvl w:val="0"/>
                <w:numId w:val="13"/>
              </w:numPr>
              <w:rPr>
                <w:rFonts w:ascii="Calibri" w:hAnsi="Calibri" w:eastAsia="Times New Roman" w:cs="Calibri"/>
                <w:b w:val="false"/>
                <w:bCs w:val="false"/>
                <w:color w:val="000000"/>
                <w:sz w:val="22"/>
                <w:szCs w:val="22"/>
                <w:lang w:eastAsia="pl-PL"/>
              </w:rPr>
            </w:pPr>
            <w:r>
              <w:rPr>
                <w:rFonts w:eastAsia="Times New Roman" w:cs="Calibri" w:ascii="Calibri" w:hAnsi="Calibri"/>
                <w:b w:val="false"/>
                <w:bCs w:val="false"/>
                <w:color w:val="000000"/>
                <w:sz w:val="22"/>
                <w:szCs w:val="22"/>
                <w:lang w:eastAsia="pl-PL"/>
              </w:rPr>
              <w:t>Możliwość zablokowania balkonika,</w:t>
            </w:r>
          </w:p>
          <w:p>
            <w:pPr>
              <w:pStyle w:val="Zawartotabeli"/>
              <w:numPr>
                <w:ilvl w:val="0"/>
                <w:numId w:val="13"/>
              </w:numPr>
              <w:rPr>
                <w:rFonts w:ascii="Calibri" w:hAnsi="Calibri" w:eastAsia="Times New Roman" w:cs="Calibri"/>
                <w:b w:val="false"/>
                <w:bCs w:val="false"/>
                <w:color w:val="000000"/>
                <w:sz w:val="22"/>
                <w:szCs w:val="22"/>
                <w:lang w:eastAsia="pl-PL"/>
              </w:rPr>
            </w:pPr>
            <w:r>
              <w:rPr>
                <w:rFonts w:eastAsia="Times New Roman" w:cs="Calibri" w:ascii="Calibri" w:hAnsi="Calibri"/>
                <w:b w:val="false"/>
                <w:bCs w:val="false"/>
                <w:color w:val="000000"/>
                <w:sz w:val="22"/>
                <w:szCs w:val="22"/>
                <w:lang w:eastAsia="pl-PL"/>
              </w:rPr>
              <w:t>Możliwość Składana,</w:t>
            </w:r>
          </w:p>
          <w:p>
            <w:pPr>
              <w:pStyle w:val="Zawartotabeli"/>
              <w:numPr>
                <w:ilvl w:val="0"/>
                <w:numId w:val="13"/>
              </w:numPr>
              <w:rPr>
                <w:rFonts w:ascii="Calibri" w:hAnsi="Calibri" w:eastAsia="Times New Roman" w:cs="Calibri"/>
                <w:b w:val="false"/>
                <w:bCs w:val="false"/>
                <w:color w:val="000000"/>
                <w:sz w:val="22"/>
                <w:szCs w:val="22"/>
                <w:lang w:eastAsia="pl-PL"/>
              </w:rPr>
            </w:pPr>
            <w:r>
              <w:rPr>
                <w:rFonts w:eastAsia="Times New Roman" w:cs="Calibri" w:ascii="Calibri" w:hAnsi="Calibri"/>
                <w:b w:val="false"/>
                <w:bCs w:val="false"/>
                <w:color w:val="000000"/>
                <w:sz w:val="22"/>
                <w:szCs w:val="22"/>
                <w:lang w:eastAsia="pl-PL"/>
              </w:rPr>
              <w:t>Regulowana wysokość,</w:t>
            </w:r>
          </w:p>
          <w:p>
            <w:pPr>
              <w:pStyle w:val="Zawartotabeli"/>
              <w:numPr>
                <w:ilvl w:val="0"/>
                <w:numId w:val="13"/>
              </w:numPr>
              <w:rPr>
                <w:rFonts w:ascii="Calibri" w:hAnsi="Calibri" w:eastAsia="Times New Roman" w:cs="Calibri"/>
                <w:b w:val="false"/>
                <w:bCs w:val="false"/>
                <w:color w:val="000000"/>
                <w:sz w:val="22"/>
                <w:szCs w:val="22"/>
                <w:lang w:eastAsia="pl-PL"/>
              </w:rPr>
            </w:pPr>
            <w:r>
              <w:rPr>
                <w:rFonts w:eastAsia="Times New Roman" w:cs="Calibri" w:ascii="Calibri" w:hAnsi="Calibri"/>
                <w:b w:val="false"/>
                <w:bCs w:val="false"/>
                <w:color w:val="000000"/>
                <w:sz w:val="22"/>
                <w:szCs w:val="22"/>
                <w:lang w:eastAsia="pl-PL"/>
              </w:rPr>
              <w:t>Max. obciążenie min 110 kg,</w:t>
            </w:r>
          </w:p>
          <w:p>
            <w:pPr>
              <w:pStyle w:val="Zawartotabeli"/>
              <w:rPr>
                <w:rFonts w:ascii="Calibri" w:hAnsi="Calibri" w:eastAsia="Times New Roman" w:cs="Calibri"/>
                <w:b w:val="false"/>
                <w:bCs w:val="false"/>
                <w:color w:val="000000"/>
                <w:sz w:val="22"/>
                <w:szCs w:val="22"/>
                <w:lang w:eastAsia="pl-PL"/>
              </w:rPr>
            </w:pPr>
            <w:r>
              <w:rPr>
                <w:rFonts w:eastAsia="Times New Roman" w:cs="Calibri" w:ascii="Calibri" w:hAnsi="Calibri"/>
                <w:b w:val="false"/>
                <w:bCs w:val="false"/>
                <w:color w:val="000000"/>
                <w:sz w:val="22"/>
                <w:szCs w:val="22"/>
                <w:lang w:eastAsia="pl-PL"/>
              </w:rPr>
              <w:t>Produkt medyczny, atestowany</w:t>
            </w:r>
          </w:p>
        </w:tc>
        <w:tc>
          <w:tcPr>
            <w:tcW w:w="108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  <w:t>2</w:t>
            </w:r>
          </w:p>
        </w:tc>
        <w:tc>
          <w:tcPr>
            <w:tcW w:w="14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snapToGrid w:val="false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</w:r>
          </w:p>
        </w:tc>
        <w:tc>
          <w:tcPr>
            <w:tcW w:w="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Zawartotabeli"/>
              <w:snapToGrid w:val="false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Zawartotabeli"/>
              <w:snapToGrid w:val="false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</w:r>
          </w:p>
        </w:tc>
        <w:tc>
          <w:tcPr>
            <w:tcW w:w="10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Zawartotabeli"/>
              <w:snapToGrid w:val="false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</w:r>
          </w:p>
        </w:tc>
      </w:tr>
      <w:tr>
        <w:trPr>
          <w:trHeight w:val="890" w:hRule="atLeast"/>
        </w:trPr>
        <w:tc>
          <w:tcPr>
            <w:tcW w:w="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spacing w:before="0" w:after="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</w:r>
          </w:p>
        </w:tc>
        <w:tc>
          <w:tcPr>
            <w:tcW w:w="5081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spacing w:before="0" w:after="0"/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Razem:</w:t>
            </w:r>
          </w:p>
        </w:tc>
        <w:tc>
          <w:tcPr>
            <w:tcW w:w="8513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spacing w:before="0" w:after="0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Kwota netto: </w:t>
            </w:r>
            <w:r>
              <w:rPr>
                <w:sz w:val="22"/>
                <w:szCs w:val="22"/>
              </w:rPr>
              <w:t>…………………………………………………………………………………..</w:t>
            </w:r>
          </w:p>
          <w:p>
            <w:pPr>
              <w:pStyle w:val="Zawartotabeli"/>
              <w:spacing w:before="0" w:after="0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</w:r>
          </w:p>
          <w:p>
            <w:pPr>
              <w:pStyle w:val="Zawartotabeli"/>
              <w:spacing w:before="0" w:after="0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Kwota brutto: </w:t>
            </w:r>
            <w:r>
              <w:rPr>
                <w:sz w:val="22"/>
                <w:szCs w:val="22"/>
              </w:rPr>
              <w:t>…………………………………………………………………………………..</w:t>
              <w:br/>
              <w:br/>
            </w:r>
            <w:r>
              <w:rPr>
                <w:rFonts w:ascii="Calibri" w:hAnsi="Calibri"/>
                <w:sz w:val="22"/>
                <w:szCs w:val="22"/>
              </w:rPr>
              <w:t>Słownie</w:t>
            </w:r>
            <w:r>
              <w:rPr>
                <w:sz w:val="22"/>
                <w:szCs w:val="22"/>
              </w:rPr>
              <w:t>: …………………………………………………………………………………………</w:t>
            </w:r>
          </w:p>
        </w:tc>
      </w:tr>
    </w:tbl>
    <w:p>
      <w:pPr>
        <w:pStyle w:val="Normal"/>
        <w:spacing w:lineRule="auto" w:line="240" w:before="57" w:after="57"/>
        <w:jc w:val="right"/>
        <w:rPr>
          <w:rFonts w:ascii="Calibri" w:hAnsi="Calibri" w:cs="Arial"/>
          <w:i/>
          <w:i/>
          <w:sz w:val="24"/>
          <w:szCs w:val="24"/>
          <w:lang w:eastAsia="ar-SA"/>
        </w:rPr>
      </w:pPr>
      <w:r>
        <w:rPr>
          <w:rFonts w:cs="Arial"/>
          <w:i/>
          <w:sz w:val="24"/>
          <w:szCs w:val="24"/>
          <w:lang w:eastAsia="ar-SA"/>
        </w:rPr>
      </w:r>
    </w:p>
    <w:p>
      <w:pPr>
        <w:pStyle w:val="Normal"/>
        <w:suppressAutoHyphens w:val="true"/>
        <w:spacing w:lineRule="auto" w:line="360" w:before="0" w:after="0"/>
        <w:jc w:val="both"/>
        <w:rPr>
          <w:rFonts w:ascii="Calibri" w:hAnsi="Calibri"/>
          <w:i/>
          <w:i/>
          <w:lang w:eastAsia="ar-SA"/>
        </w:rPr>
      </w:pPr>
      <w:r>
        <w:rPr>
          <w:rFonts w:cs="Arial"/>
          <w:i/>
          <w:sz w:val="24"/>
          <w:szCs w:val="24"/>
          <w:lang w:eastAsia="ar-SA"/>
        </w:rPr>
        <w:t>………</w:t>
      </w:r>
      <w:r>
        <w:rPr>
          <w:rFonts w:cs="Arial"/>
          <w:i/>
          <w:sz w:val="24"/>
          <w:szCs w:val="24"/>
          <w:lang w:eastAsia="ar-SA"/>
        </w:rPr>
        <w:t xml:space="preserve">.............. (miejscowość), dnia ….......……….……. r.                                                                                                   </w:t>
      </w:r>
      <w:r>
        <w:rPr>
          <w:i/>
          <w:lang w:eastAsia="ar-SA"/>
        </w:rPr>
        <w:t xml:space="preserve">  _______________________________</w:t>
      </w:r>
    </w:p>
    <w:p>
      <w:pPr>
        <w:pStyle w:val="Normal"/>
        <w:widowControl/>
        <w:suppressAutoHyphens w:val="true"/>
        <w:spacing w:lineRule="auto" w:line="240" w:before="0" w:after="0"/>
        <w:jc w:val="right"/>
        <w:rPr/>
      </w:pPr>
      <w:r>
        <w:rPr>
          <w:rStyle w:val="Domylnaczcionkaakapitu"/>
          <w:rFonts w:eastAsia="Arial" w:cs="Arial"/>
          <w:i/>
          <w:iCs/>
          <w:color w:val="000000"/>
          <w:sz w:val="20"/>
          <w:szCs w:val="20"/>
          <w:u w:val="none"/>
          <w:shd w:fill="auto" w:val="clear"/>
          <w:lang w:eastAsia="ar-SA"/>
        </w:rPr>
        <w:t>(podpis Wykonawcy/Pełnomocnika)</w:t>
      </w:r>
    </w:p>
    <w:sectPr>
      <w:headerReference w:type="even" r:id="rId3"/>
      <w:headerReference w:type="default" r:id="rId4"/>
      <w:headerReference w:type="first" r:id="rId5"/>
      <w:footerReference w:type="even" r:id="rId6"/>
      <w:footerReference w:type="default" r:id="rId7"/>
      <w:footerReference w:type="first" r:id="rId8"/>
      <w:type w:val="nextPage"/>
      <w:pgSz w:orient="landscape" w:w="16838" w:h="11906"/>
      <w:pgMar w:left="1417" w:right="1417" w:gutter="0" w:header="680" w:top="1530" w:footer="624" w:bottom="1127"/>
      <w:pgNumType w:fmt="decimal"/>
      <w:formProt w:val="false"/>
      <w:textDirection w:val="lrTb"/>
      <w:docGrid w:type="default" w:linePitch="312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Cambria">
    <w:charset w:val="ee"/>
    <w:family w:val="roman"/>
    <w:pitch w:val="variable"/>
  </w:font>
  <w:font w:name="Tahoma"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Symbol">
    <w:charset w:val="ee"/>
    <w:family w:val="roman"/>
    <w:pitch w:val="variable"/>
  </w:font>
  <w:font w:name="Courier New">
    <w:charset w:val="ee"/>
    <w:family w:val="roman"/>
    <w:pitch w:val="variable"/>
  </w:font>
  <w:font w:name="Wingdings">
    <w:charset w:val="ee"/>
    <w:family w:val="roman"/>
    <w:pitch w:val="variable"/>
  </w:font>
  <w:font w:name="0">
    <w:charset w:val="ee"/>
    <w:family w:val="roman"/>
    <w:pitch w:val="variable"/>
  </w:font>
  <w:font w:name="Times New Roman">
    <w:charset w:val="ee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jc w:val="center"/>
      <w:rPr>
        <w:sz w:val="18"/>
        <w:szCs w:val="18"/>
      </w:rPr>
    </w:pP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PAGE </w:instrText>
    </w:r>
    <w:r>
      <w:rPr>
        <w:sz w:val="18"/>
        <w:szCs w:val="18"/>
      </w:rPr>
      <w:fldChar w:fldCharType="separate"/>
    </w:r>
    <w:r>
      <w:rPr>
        <w:sz w:val="18"/>
        <w:szCs w:val="18"/>
      </w:rPr>
      <w:t>5</w:t>
    </w:r>
    <w:r>
      <w:rPr>
        <w:sz w:val="18"/>
        <w:szCs w:val="18"/>
      </w:rPr>
      <w:fldChar w:fldCharType="end"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jc w:val="center"/>
      <w:rPr>
        <w:sz w:val="18"/>
        <w:szCs w:val="18"/>
      </w:rPr>
    </w:pP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PAGE </w:instrText>
    </w:r>
    <w:r>
      <w:rPr>
        <w:sz w:val="18"/>
        <w:szCs w:val="18"/>
      </w:rPr>
      <w:fldChar w:fldCharType="separate"/>
    </w:r>
    <w:r>
      <w:rPr>
        <w:sz w:val="18"/>
        <w:szCs w:val="18"/>
      </w:rPr>
      <w:t>5</w:t>
    </w:r>
    <w:r>
      <w:rPr>
        <w:sz w:val="18"/>
        <w:szCs w:val="18"/>
      </w:rPr>
      <w:fldChar w:fldCharType="end"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suppressLineNumbers/>
      <w:spacing w:before="0" w:after="200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agwek"/>
      <w:suppressLineNumbers/>
      <w:suppressAutoHyphens w:val="false"/>
      <w:spacing w:before="0" w:after="200"/>
      <w:rPr/>
    </w:pPr>
    <w:r>
      <w:rPr/>
      <w:drawing>
        <wp:inline distT="0" distB="0" distL="0" distR="0">
          <wp:extent cx="5764530" cy="525780"/>
          <wp:effectExtent l="0" t="0" r="0" b="0"/>
          <wp:docPr id="1" name="Obraz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-89" t="-967" r="-89" b="-967"/>
                  <a:stretch>
                    <a:fillRect/>
                  </a:stretch>
                </pic:blipFill>
                <pic:spPr bwMode="auto">
                  <a:xfrm>
                    <a:off x="0" y="0"/>
                    <a:ext cx="5764530" cy="5257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agwek"/>
      <w:suppressLineNumbers/>
      <w:suppressAutoHyphens w:val="false"/>
      <w:spacing w:before="0" w:after="200"/>
      <w:rPr/>
    </w:pPr>
    <w:r>
      <w:rPr/>
      <w:drawing>
        <wp:inline distT="0" distB="0" distL="0" distR="0">
          <wp:extent cx="5764530" cy="525780"/>
          <wp:effectExtent l="0" t="0" r="0" b="0"/>
          <wp:docPr id="2" name="Obraz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-89" t="-967" r="-89" b="-967"/>
                  <a:stretch>
                    <a:fillRect/>
                  </a:stretch>
                </pic:blipFill>
                <pic:spPr bwMode="auto">
                  <a:xfrm>
                    <a:off x="0" y="0"/>
                    <a:ext cx="5764530" cy="5257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3">
    <w:lvl w:ilvl="0"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0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0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0"/>
      <w:numFmt w:val="bullet"/>
      <w:lvlText w:val=""/>
      <w:lvlJc w:val="left"/>
      <w:pPr>
        <w:tabs>
          <w:tab w:val="num" w:pos="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0"/>
      <w:numFmt w:val="bullet"/>
      <w:lvlText w:val=""/>
      <w:lvlJc w:val="left"/>
      <w:pPr>
        <w:tabs>
          <w:tab w:val="num" w:pos="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0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0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0"/>
      <w:numFmt w:val="bullet"/>
      <w:lvlText w:val=""/>
      <w:lvlJc w:val="left"/>
      <w:pPr>
        <w:tabs>
          <w:tab w:val="num" w:pos="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0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4">
    <w:lvl w:ilvl="0"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0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0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0"/>
      <w:numFmt w:val="bullet"/>
      <w:lvlText w:val=""/>
      <w:lvlJc w:val="left"/>
      <w:pPr>
        <w:tabs>
          <w:tab w:val="num" w:pos="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0"/>
      <w:numFmt w:val="bullet"/>
      <w:lvlText w:val=""/>
      <w:lvlJc w:val="left"/>
      <w:pPr>
        <w:tabs>
          <w:tab w:val="num" w:pos="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0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0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0"/>
      <w:numFmt w:val="bullet"/>
      <w:lvlText w:val=""/>
      <w:lvlJc w:val="left"/>
      <w:pPr>
        <w:tabs>
          <w:tab w:val="num" w:pos="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0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5">
    <w:lvl w:ilvl="0"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0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0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0"/>
      <w:numFmt w:val="bullet"/>
      <w:lvlText w:val=""/>
      <w:lvlJc w:val="left"/>
      <w:pPr>
        <w:tabs>
          <w:tab w:val="num" w:pos="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0"/>
      <w:numFmt w:val="bullet"/>
      <w:lvlText w:val=""/>
      <w:lvlJc w:val="left"/>
      <w:pPr>
        <w:tabs>
          <w:tab w:val="num" w:pos="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0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0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0"/>
      <w:numFmt w:val="bullet"/>
      <w:lvlText w:val=""/>
      <w:lvlJc w:val="left"/>
      <w:pPr>
        <w:tabs>
          <w:tab w:val="num" w:pos="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0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6">
    <w:lvl w:ilvl="0"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0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0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0"/>
      <w:numFmt w:val="bullet"/>
      <w:lvlText w:val=""/>
      <w:lvlJc w:val="left"/>
      <w:pPr>
        <w:tabs>
          <w:tab w:val="num" w:pos="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0"/>
      <w:numFmt w:val="bullet"/>
      <w:lvlText w:val=""/>
      <w:lvlJc w:val="left"/>
      <w:pPr>
        <w:tabs>
          <w:tab w:val="num" w:pos="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0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0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0"/>
      <w:numFmt w:val="bullet"/>
      <w:lvlText w:val=""/>
      <w:lvlJc w:val="left"/>
      <w:pPr>
        <w:tabs>
          <w:tab w:val="num" w:pos="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0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7">
    <w:lvl w:ilvl="0"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0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0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0"/>
      <w:numFmt w:val="bullet"/>
      <w:lvlText w:val=""/>
      <w:lvlJc w:val="left"/>
      <w:pPr>
        <w:tabs>
          <w:tab w:val="num" w:pos="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0"/>
      <w:numFmt w:val="bullet"/>
      <w:lvlText w:val=""/>
      <w:lvlJc w:val="left"/>
      <w:pPr>
        <w:tabs>
          <w:tab w:val="num" w:pos="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0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0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0"/>
      <w:numFmt w:val="bullet"/>
      <w:lvlText w:val=""/>
      <w:lvlJc w:val="left"/>
      <w:pPr>
        <w:tabs>
          <w:tab w:val="num" w:pos="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0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8">
    <w:lvl w:ilvl="0"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0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0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0"/>
      <w:numFmt w:val="bullet"/>
      <w:lvlText w:val=""/>
      <w:lvlJc w:val="left"/>
      <w:pPr>
        <w:tabs>
          <w:tab w:val="num" w:pos="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0"/>
      <w:numFmt w:val="bullet"/>
      <w:lvlText w:val=""/>
      <w:lvlJc w:val="left"/>
      <w:pPr>
        <w:tabs>
          <w:tab w:val="num" w:pos="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0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0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0"/>
      <w:numFmt w:val="bullet"/>
      <w:lvlText w:val=""/>
      <w:lvlJc w:val="left"/>
      <w:pPr>
        <w:tabs>
          <w:tab w:val="num" w:pos="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0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9">
    <w:lvl w:ilvl="0"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0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0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0"/>
      <w:numFmt w:val="bullet"/>
      <w:lvlText w:val=""/>
      <w:lvlJc w:val="left"/>
      <w:pPr>
        <w:tabs>
          <w:tab w:val="num" w:pos="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0"/>
      <w:numFmt w:val="bullet"/>
      <w:lvlText w:val=""/>
      <w:lvlJc w:val="left"/>
      <w:pPr>
        <w:tabs>
          <w:tab w:val="num" w:pos="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0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0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0"/>
      <w:numFmt w:val="bullet"/>
      <w:lvlText w:val=""/>
      <w:lvlJc w:val="left"/>
      <w:pPr>
        <w:tabs>
          <w:tab w:val="num" w:pos="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0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0">
    <w:lvl w:ilvl="0"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0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0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0"/>
      <w:numFmt w:val="bullet"/>
      <w:lvlText w:val=""/>
      <w:lvlJc w:val="left"/>
      <w:pPr>
        <w:tabs>
          <w:tab w:val="num" w:pos="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0"/>
      <w:numFmt w:val="bullet"/>
      <w:lvlText w:val=""/>
      <w:lvlJc w:val="left"/>
      <w:pPr>
        <w:tabs>
          <w:tab w:val="num" w:pos="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0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0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0"/>
      <w:numFmt w:val="bullet"/>
      <w:lvlText w:val=""/>
      <w:lvlJc w:val="left"/>
      <w:pPr>
        <w:tabs>
          <w:tab w:val="num" w:pos="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0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1">
    <w:lvl w:ilvl="0"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0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0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0"/>
      <w:numFmt w:val="bullet"/>
      <w:lvlText w:val=""/>
      <w:lvlJc w:val="left"/>
      <w:pPr>
        <w:tabs>
          <w:tab w:val="num" w:pos="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0"/>
      <w:numFmt w:val="bullet"/>
      <w:lvlText w:val=""/>
      <w:lvlJc w:val="left"/>
      <w:pPr>
        <w:tabs>
          <w:tab w:val="num" w:pos="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0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0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0"/>
      <w:numFmt w:val="bullet"/>
      <w:lvlText w:val=""/>
      <w:lvlJc w:val="left"/>
      <w:pPr>
        <w:tabs>
          <w:tab w:val="num" w:pos="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0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2">
    <w:lvl w:ilvl="0"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0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0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0"/>
      <w:numFmt w:val="bullet"/>
      <w:lvlText w:val=""/>
      <w:lvlJc w:val="left"/>
      <w:pPr>
        <w:tabs>
          <w:tab w:val="num" w:pos="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0"/>
      <w:numFmt w:val="bullet"/>
      <w:lvlText w:val=""/>
      <w:lvlJc w:val="left"/>
      <w:pPr>
        <w:tabs>
          <w:tab w:val="num" w:pos="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0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0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0"/>
      <w:numFmt w:val="bullet"/>
      <w:lvlText w:val=""/>
      <w:lvlJc w:val="left"/>
      <w:pPr>
        <w:tabs>
          <w:tab w:val="num" w:pos="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0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3">
    <w:lvl w:ilvl="0"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14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false"/>
        <w:bCs w:val="fals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false"/>
        <w:bCs w:val="false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 w:val="false"/>
        <w:bCs w:val="false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b w:val="false"/>
        <w:bCs w:val="false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b w:val="false"/>
        <w:bCs w:val="false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b w:val="false"/>
        <w:bCs w:val="false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b w:val="false"/>
        <w:bCs w:val="false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b w:val="false"/>
        <w:bCs w:val="false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b w:val="false"/>
        <w:bCs w:val="false"/>
      </w:rPr>
    </w:lvl>
  </w:abstractNum>
  <w:abstractNum w:abstractNumId="15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</w:numbering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doNotBreakWrappedTables/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keepNext w:val="false"/>
      <w:keepLines w:val="false"/>
      <w:pageBreakBefore w:val="false"/>
      <w:widowControl/>
      <w:shd w:val="clear" w:fill="auto"/>
      <w:suppressAutoHyphens w:val="true"/>
      <w:overflowPunct w:val="true"/>
      <w:bidi w:val="0"/>
      <w:snapToGrid w:val="true"/>
      <w:spacing w:lineRule="auto" w:line="276" w:before="0" w:after="200"/>
      <w:jc w:val="left"/>
      <w:textAlignment w:val="baseline"/>
    </w:pPr>
    <w:rPr>
      <w:rFonts w:ascii="Calibri" w:hAnsi="Calibri" w:eastAsia="Calibri" w:cs="Times New Roman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000000"/>
      <w:spacing w:val="0"/>
      <w:w w:val="100"/>
      <w:kern w:val="0"/>
      <w:position w:val="0"/>
      <w:sz w:val="22"/>
      <w:sz w:val="22"/>
      <w:szCs w:val="22"/>
      <w:u w:val="none"/>
      <w:shd w:fill="auto" w:val="clear"/>
      <w:vertAlign w:val="baseline"/>
      <w:em w:val="none"/>
      <w:lang w:val="pl-PL" w:eastAsia="en-US" w:bidi="ar-SA"/>
    </w:rPr>
  </w:style>
  <w:style w:type="paragraph" w:styleId="Heading1">
    <w:name w:val="Heading 1"/>
    <w:basedOn w:val="Normal"/>
    <w:next w:val="Normal"/>
    <w:qFormat/>
    <w:pPr>
      <w:keepNext w:val="true"/>
      <w:keepLines/>
      <w:numPr>
        <w:ilvl w:val="0"/>
        <w:numId w:val="1"/>
      </w:numPr>
      <w:suppressAutoHyphens w:val="true"/>
      <w:spacing w:before="480" w:after="0"/>
      <w:outlineLvl w:val="0"/>
    </w:pPr>
    <w:rPr>
      <w:rFonts w:ascii="Cambria" w:hAnsi="Cambria" w:eastAsia="Times New Roman" w:cs="Mangal;Courier New"/>
      <w:b/>
      <w:bCs/>
      <w:color w:val="365F91"/>
      <w:sz w:val="28"/>
      <w:szCs w:val="25"/>
    </w:rPr>
  </w:style>
  <w:style w:type="paragraph" w:styleId="Heading2">
    <w:name w:val="Heading 2"/>
    <w:basedOn w:val="Normal"/>
    <w:next w:val="Normal"/>
    <w:qFormat/>
    <w:pPr>
      <w:keepNext w:val="true"/>
      <w:keepLines/>
      <w:numPr>
        <w:ilvl w:val="1"/>
        <w:numId w:val="2"/>
      </w:numPr>
      <w:suppressAutoHyphens w:val="true"/>
      <w:spacing w:before="200" w:after="0"/>
      <w:outlineLvl w:val="1"/>
    </w:pPr>
    <w:rPr>
      <w:rFonts w:ascii="Cambria" w:hAnsi="Cambria" w:eastAsia="Times New Roman" w:cs="Mangal;Courier New"/>
      <w:b/>
      <w:bCs/>
      <w:color w:val="4F81BD"/>
      <w:sz w:val="26"/>
      <w:szCs w:val="23"/>
    </w:rPr>
  </w:style>
  <w:style w:type="paragraph" w:styleId="Heading5">
    <w:name w:val="Heading 5"/>
    <w:basedOn w:val="Normal"/>
    <w:next w:val="Normal"/>
    <w:qFormat/>
    <w:pPr>
      <w:keepNext w:val="true"/>
      <w:keepLines/>
      <w:numPr>
        <w:ilvl w:val="4"/>
        <w:numId w:val="1"/>
      </w:numPr>
      <w:suppressAutoHyphens w:val="true"/>
      <w:spacing w:before="200" w:after="0"/>
      <w:outlineLvl w:val="4"/>
    </w:pPr>
    <w:rPr>
      <w:rFonts w:ascii="Cambria" w:hAnsi="Cambria" w:eastAsia="Times New Roman" w:cs="Mangal;Courier New"/>
      <w:color w:val="243F60"/>
      <w:szCs w:val="21"/>
    </w:rPr>
  </w:style>
  <w:style w:type="character" w:styleId="Domylnaczcionkaakapitu">
    <w:name w:val="Domyślna czcionka akapitu"/>
    <w:qFormat/>
    <w:rPr/>
  </w:style>
  <w:style w:type="character" w:styleId="TekstdymkaZnak">
    <w:name w:val="Tekst dymka Znak"/>
    <w:basedOn w:val="Domylnaczcionkaakapitu"/>
    <w:qFormat/>
    <w:rPr>
      <w:rFonts w:ascii="Tahoma" w:hAnsi="Tahoma" w:cs="Tahoma"/>
      <w:sz w:val="16"/>
      <w:szCs w:val="16"/>
    </w:rPr>
  </w:style>
  <w:style w:type="character" w:styleId="NagwekZnak">
    <w:name w:val="Nagłówek Znak"/>
    <w:basedOn w:val="Domylnaczcionkaakapitu"/>
    <w:qFormat/>
    <w:rPr/>
  </w:style>
  <w:style w:type="character" w:styleId="StopkaZnak">
    <w:name w:val="Stopka Znak"/>
    <w:basedOn w:val="Domylnaczcionkaakapitu"/>
    <w:qFormat/>
    <w:rPr/>
  </w:style>
  <w:style w:type="character" w:styleId="Znakinumeracji">
    <w:name w:val="Znaki numeracji"/>
    <w:qFormat/>
    <w:rPr>
      <w:b w:val="false"/>
      <w:bCs w:val="false"/>
    </w:rPr>
  </w:style>
  <w:style w:type="character" w:styleId="Znakiwypunktowania">
    <w:name w:val="Znaki wypunktowania"/>
    <w:qFormat/>
    <w:rPr>
      <w:rFonts w:ascii="OpenSymbol" w:hAnsi="OpenSymbol" w:eastAsia="OpenSymbol" w:cs="OpenSymbol"/>
    </w:rPr>
  </w:style>
  <w:style w:type="character" w:styleId="Hyperlink">
    <w:name w:val="Hyperlink"/>
    <w:rPr>
      <w:color w:val="000080"/>
      <w:u w:val="single"/>
      <w:lang w:val="zxx" w:eastAsia="zxx" w:bidi="zxx"/>
    </w:rPr>
  </w:style>
  <w:style w:type="character" w:styleId="Domylnaczcionkaakapitu1">
    <w:name w:val="Domyślna czcionka akapitu1"/>
    <w:qFormat/>
    <w:rPr/>
  </w:style>
  <w:style w:type="character" w:styleId="FollowedHyperlink">
    <w:name w:val="FollowedHyperlink"/>
    <w:rPr>
      <w:color w:val="800080"/>
      <w:u w:val="single"/>
    </w:rPr>
  </w:style>
  <w:style w:type="character" w:styleId="WW8Num10z0">
    <w:name w:val="WW8Num10z0"/>
    <w:qFormat/>
    <w:rPr>
      <w:rFonts w:ascii="Symbol" w:hAnsi="Symbol" w:cs="Symbol"/>
    </w:rPr>
  </w:style>
  <w:style w:type="character" w:styleId="WW8Num10z1">
    <w:name w:val="WW8Num10z1"/>
    <w:qFormat/>
    <w:rPr>
      <w:rFonts w:ascii="Courier New" w:hAnsi="Courier New" w:cs="Courier New"/>
    </w:rPr>
  </w:style>
  <w:style w:type="character" w:styleId="WW8Num10z2">
    <w:name w:val="WW8Num10z2"/>
    <w:qFormat/>
    <w:rPr>
      <w:rFonts w:ascii="Wingdings" w:hAnsi="Wingdings" w:cs="Wingdings"/>
    </w:rPr>
  </w:style>
  <w:style w:type="character" w:styleId="Nagwek1">
    <w:name w:val="Nagłówek1"/>
    <w:basedOn w:val="Domylnaczcionkaakapitu"/>
    <w:qFormat/>
    <w:rPr/>
  </w:style>
  <w:style w:type="character" w:styleId="Bodytext">
    <w:name w:val="bodytext"/>
    <w:basedOn w:val="Domylnaczcionkaakapitu"/>
    <w:qFormat/>
    <w:rPr/>
  </w:style>
  <w:style w:type="character" w:styleId="Strong">
    <w:name w:val="Strong"/>
    <w:qFormat/>
    <w:rPr>
      <w:b/>
      <w:bCs/>
    </w:rPr>
  </w:style>
  <w:style w:type="character" w:styleId="Attribute-name">
    <w:name w:val="attribute-name"/>
    <w:basedOn w:val="Domylnaczcionkaakapitu"/>
    <w:qFormat/>
    <w:rPr/>
  </w:style>
  <w:style w:type="character" w:styleId="Attribute-value">
    <w:name w:val="attribute-value"/>
    <w:basedOn w:val="Domylnaczcionkaakapitu"/>
    <w:qFormat/>
    <w:rPr/>
  </w:style>
  <w:style w:type="character" w:styleId="WW8Num3z0">
    <w:name w:val="WW8Num3z0"/>
    <w:qFormat/>
    <w:rPr>
      <w:rFonts w:ascii="Symbol" w:hAnsi="Symbol" w:cs="Symbol"/>
      <w:sz w:val="20"/>
    </w:rPr>
  </w:style>
  <w:style w:type="character" w:styleId="WW8Num3z1">
    <w:name w:val="WW8Num3z1"/>
    <w:qFormat/>
    <w:rPr>
      <w:rFonts w:ascii="Courier New" w:hAnsi="Courier New" w:cs="Courier New"/>
      <w:sz w:val="20"/>
    </w:rPr>
  </w:style>
  <w:style w:type="character" w:styleId="WW8Num3z2">
    <w:name w:val="WW8Num3z2"/>
    <w:qFormat/>
    <w:rPr>
      <w:rFonts w:ascii="Wingdings" w:hAnsi="Wingdings" w:cs="Wingdings"/>
      <w:sz w:val="20"/>
    </w:rPr>
  </w:style>
  <w:style w:type="character" w:styleId="WW8Num13z0">
    <w:name w:val="WW8Num13z0"/>
    <w:qFormat/>
    <w:rPr>
      <w:rFonts w:ascii="Symbol" w:hAnsi="Symbol" w:cs="Symbol"/>
      <w:sz w:val="20"/>
    </w:rPr>
  </w:style>
  <w:style w:type="character" w:styleId="WW8Num13z1">
    <w:name w:val="WW8Num13z1"/>
    <w:qFormat/>
    <w:rPr>
      <w:rFonts w:ascii="Courier New" w:hAnsi="Courier New" w:cs="Courier New"/>
      <w:sz w:val="20"/>
    </w:rPr>
  </w:style>
  <w:style w:type="character" w:styleId="WW8Num13z2">
    <w:name w:val="WW8Num13z2"/>
    <w:qFormat/>
    <w:rPr>
      <w:rFonts w:ascii="Wingdings" w:hAnsi="Wingdings" w:cs="Wingdings"/>
      <w:sz w:val="20"/>
    </w:rPr>
  </w:style>
  <w:style w:type="character" w:styleId="WW8Num6z0">
    <w:name w:val="WW8Num6z0"/>
    <w:qFormat/>
    <w:rPr>
      <w:rFonts w:ascii="Symbol" w:hAnsi="Symbol" w:cs="Symbol"/>
      <w:sz w:val="20"/>
    </w:rPr>
  </w:style>
  <w:style w:type="character" w:styleId="WW8Num6z1">
    <w:name w:val="WW8Num6z1"/>
    <w:qFormat/>
    <w:rPr>
      <w:rFonts w:ascii="Courier New" w:hAnsi="Courier New" w:cs="Courier New"/>
      <w:sz w:val="20"/>
    </w:rPr>
  </w:style>
  <w:style w:type="character" w:styleId="WW8Num6z2">
    <w:name w:val="WW8Num6z2"/>
    <w:qFormat/>
    <w:rPr>
      <w:rFonts w:ascii="Wingdings" w:hAnsi="Wingdings" w:cs="Wingdings"/>
      <w:sz w:val="20"/>
    </w:rPr>
  </w:style>
  <w:style w:type="character" w:styleId="WW8Num2z0">
    <w:name w:val="WW8Num2z0"/>
    <w:qFormat/>
    <w:rPr>
      <w:rFonts w:ascii="Symbol" w:hAnsi="Symbol" w:cs="Symbol"/>
      <w:sz w:val="20"/>
    </w:rPr>
  </w:style>
  <w:style w:type="character" w:styleId="WW8Num2z1">
    <w:name w:val="WW8Num2z1"/>
    <w:qFormat/>
    <w:rPr>
      <w:rFonts w:ascii="Courier New" w:hAnsi="Courier New" w:cs="Courier New"/>
      <w:sz w:val="20"/>
    </w:rPr>
  </w:style>
  <w:style w:type="character" w:styleId="WW8Num2z2">
    <w:name w:val="WW8Num2z2"/>
    <w:qFormat/>
    <w:rPr>
      <w:rFonts w:ascii="Wingdings" w:hAnsi="Wingdings" w:cs="Wingdings"/>
      <w:sz w:val="20"/>
    </w:rPr>
  </w:style>
  <w:style w:type="character" w:styleId="WW8Num9z0">
    <w:name w:val="WW8Num9z0"/>
    <w:qFormat/>
    <w:rPr>
      <w:rFonts w:ascii="Symbol" w:hAnsi="Symbol" w:cs="Symbol"/>
      <w:sz w:val="20"/>
    </w:rPr>
  </w:style>
  <w:style w:type="character" w:styleId="WW8Num9z1">
    <w:name w:val="WW8Num9z1"/>
    <w:qFormat/>
    <w:rPr>
      <w:rFonts w:ascii="Courier New" w:hAnsi="Courier New" w:cs="Courier New"/>
      <w:sz w:val="20"/>
    </w:rPr>
  </w:style>
  <w:style w:type="character" w:styleId="WW8Num9z2">
    <w:name w:val="WW8Num9z2"/>
    <w:qFormat/>
    <w:rPr>
      <w:rFonts w:ascii="Wingdings" w:hAnsi="Wingdings" w:cs="Wingdings"/>
      <w:sz w:val="20"/>
    </w:rPr>
  </w:style>
  <w:style w:type="character" w:styleId="WW8Num5z0">
    <w:name w:val="WW8Num5z0"/>
    <w:qFormat/>
    <w:rPr>
      <w:rFonts w:ascii="Symbol" w:hAnsi="Symbol" w:cs="Symbol"/>
      <w:sz w:val="20"/>
    </w:rPr>
  </w:style>
  <w:style w:type="character" w:styleId="WW8Num5z1">
    <w:name w:val="WW8Num5z1"/>
    <w:qFormat/>
    <w:rPr>
      <w:rFonts w:ascii="Courier New" w:hAnsi="Courier New" w:cs="Courier New"/>
      <w:sz w:val="20"/>
    </w:rPr>
  </w:style>
  <w:style w:type="character" w:styleId="WW8Num5z2">
    <w:name w:val="WW8Num5z2"/>
    <w:qFormat/>
    <w:rPr>
      <w:rFonts w:ascii="Wingdings" w:hAnsi="Wingdings" w:cs="Wingdings"/>
      <w:sz w:val="20"/>
    </w:rPr>
  </w:style>
  <w:style w:type="character" w:styleId="WW8Num12z0">
    <w:name w:val="WW8Num12z0"/>
    <w:qFormat/>
    <w:rPr>
      <w:rFonts w:ascii="Symbol" w:hAnsi="Symbol" w:cs="Symbol"/>
      <w:sz w:val="20"/>
    </w:rPr>
  </w:style>
  <w:style w:type="character" w:styleId="WW8Num12z1">
    <w:name w:val="WW8Num12z1"/>
    <w:qFormat/>
    <w:rPr>
      <w:rFonts w:ascii="Courier New" w:hAnsi="Courier New" w:cs="Courier New"/>
      <w:sz w:val="20"/>
    </w:rPr>
  </w:style>
  <w:style w:type="character" w:styleId="WW8Num12z2">
    <w:name w:val="WW8Num12z2"/>
    <w:qFormat/>
    <w:rPr>
      <w:rFonts w:ascii="Wingdings" w:hAnsi="Wingdings" w:cs="Wingdings"/>
      <w:sz w:val="20"/>
    </w:rPr>
  </w:style>
  <w:style w:type="character" w:styleId="WW8Num8z0">
    <w:name w:val="WW8Num8z0"/>
    <w:qFormat/>
    <w:rPr>
      <w:rFonts w:ascii="Symbol" w:hAnsi="Symbol" w:cs="Symbol"/>
      <w:sz w:val="20"/>
    </w:rPr>
  </w:style>
  <w:style w:type="character" w:styleId="WW8Num8z1">
    <w:name w:val="WW8Num8z1"/>
    <w:qFormat/>
    <w:rPr>
      <w:rFonts w:ascii="Courier New" w:hAnsi="Courier New" w:cs="Courier New"/>
      <w:sz w:val="20"/>
    </w:rPr>
  </w:style>
  <w:style w:type="character" w:styleId="WW8Num8z2">
    <w:name w:val="WW8Num8z2"/>
    <w:qFormat/>
    <w:rPr>
      <w:rFonts w:ascii="Wingdings" w:hAnsi="Wingdings" w:cs="Wingdings"/>
      <w:sz w:val="20"/>
    </w:rPr>
  </w:style>
  <w:style w:type="character" w:styleId="WW8Num4z0">
    <w:name w:val="WW8Num4z0"/>
    <w:qFormat/>
    <w:rPr>
      <w:rFonts w:ascii="Symbol" w:hAnsi="Symbol" w:cs="Symbol"/>
      <w:sz w:val="20"/>
    </w:rPr>
  </w:style>
  <w:style w:type="character" w:styleId="WW8Num4z1">
    <w:name w:val="WW8Num4z1"/>
    <w:qFormat/>
    <w:rPr>
      <w:rFonts w:ascii="Courier New" w:hAnsi="Courier New" w:cs="Courier New"/>
      <w:sz w:val="20"/>
    </w:rPr>
  </w:style>
  <w:style w:type="character" w:styleId="WW8Num4z2">
    <w:name w:val="WW8Num4z2"/>
    <w:qFormat/>
    <w:rPr>
      <w:rFonts w:ascii="Wingdings" w:hAnsi="Wingdings" w:cs="Wingdings"/>
      <w:sz w:val="20"/>
    </w:rPr>
  </w:style>
  <w:style w:type="character" w:styleId="WW8Num11z0">
    <w:name w:val="WW8Num11z0"/>
    <w:qFormat/>
    <w:rPr>
      <w:rFonts w:ascii="Symbol" w:hAnsi="Symbol" w:cs="Symbol"/>
      <w:sz w:val="20"/>
    </w:rPr>
  </w:style>
  <w:style w:type="character" w:styleId="WW8Num11z1">
    <w:name w:val="WW8Num11z1"/>
    <w:qFormat/>
    <w:rPr>
      <w:rFonts w:ascii="Courier New" w:hAnsi="Courier New" w:cs="Courier New"/>
      <w:sz w:val="20"/>
    </w:rPr>
  </w:style>
  <w:style w:type="character" w:styleId="WW8Num11z2">
    <w:name w:val="WW8Num11z2"/>
    <w:qFormat/>
    <w:rPr>
      <w:rFonts w:ascii="Wingdings" w:hAnsi="Wingdings" w:cs="Wingdings"/>
      <w:sz w:val="20"/>
    </w:rPr>
  </w:style>
  <w:style w:type="character" w:styleId="WW8Num7z0">
    <w:name w:val="WW8Num7z0"/>
    <w:qFormat/>
    <w:rPr>
      <w:rFonts w:ascii="Symbol" w:hAnsi="Symbol" w:cs="Symbol"/>
      <w:sz w:val="20"/>
    </w:rPr>
  </w:style>
  <w:style w:type="paragraph" w:styleId="Nagwek">
    <w:name w:val="Nagłówek"/>
    <w:basedOn w:val="Normal"/>
    <w:next w:val="BodyText1"/>
    <w:qFormat/>
    <w:pPr>
      <w:suppressLineNumbers/>
      <w:tabs>
        <w:tab w:val="clear" w:pos="708"/>
        <w:tab w:val="center" w:pos="4819" w:leader="none"/>
        <w:tab w:val="right" w:pos="9638" w:leader="none"/>
      </w:tabs>
      <w:suppressAutoHyphens w:val="false"/>
    </w:pPr>
    <w:rPr/>
  </w:style>
  <w:style w:type="paragraph" w:styleId="BodyText1">
    <w:name w:val="Body Text"/>
    <w:basedOn w:val="Normal"/>
    <w:pPr>
      <w:suppressAutoHyphens w:val="false"/>
      <w:spacing w:before="0" w:after="120"/>
    </w:pPr>
    <w:rPr/>
  </w:style>
  <w:style w:type="paragraph" w:styleId="List">
    <w:name w:val="List"/>
    <w:basedOn w:val="BodyText1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Normalny">
    <w:name w:val="Normalny"/>
    <w:qFormat/>
    <w:pPr>
      <w:keepNext w:val="false"/>
      <w:keepLines w:val="false"/>
      <w:pageBreakBefore w:val="false"/>
      <w:widowControl/>
      <w:shd w:val="clear" w:fill="auto"/>
      <w:suppressAutoHyphens w:val="true"/>
      <w:overflowPunct w:val="true"/>
      <w:bidi w:val="0"/>
      <w:snapToGrid w:val="true"/>
      <w:spacing w:lineRule="auto" w:line="276" w:before="0" w:after="200"/>
      <w:jc w:val="left"/>
      <w:textAlignment w:val="baseline"/>
    </w:pPr>
    <w:rPr>
      <w:rFonts w:ascii="Calibri" w:hAnsi="Calibri" w:eastAsia="Calibri" w:cs="Times New Roman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000000"/>
      <w:spacing w:val="0"/>
      <w:w w:val="100"/>
      <w:kern w:val="0"/>
      <w:position w:val="0"/>
      <w:sz w:val="22"/>
      <w:sz w:val="22"/>
      <w:szCs w:val="22"/>
      <w:u w:val="none"/>
      <w:shd w:fill="auto" w:val="clear"/>
      <w:vertAlign w:val="baseline"/>
      <w:em w:val="none"/>
      <w:lang w:val="pl-PL" w:eastAsia="en-US" w:bidi="ar-SA"/>
    </w:rPr>
  </w:style>
  <w:style w:type="paragraph" w:styleId="Tekstdymka">
    <w:name w:val="Tekst dymka"/>
    <w:basedOn w:val="Normalny"/>
    <w:qFormat/>
    <w:pPr>
      <w:suppressAutoHyphens w:val="true"/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Gwkaistopka">
    <w:name w:val="Główka i stopka"/>
    <w:basedOn w:val="Normal"/>
    <w:qFormat/>
    <w:pPr>
      <w:suppressLineNumbers/>
      <w:tabs>
        <w:tab w:val="clear" w:pos="708"/>
        <w:tab w:val="center" w:pos="4819" w:leader="none"/>
        <w:tab w:val="right" w:pos="9638" w:leader="none"/>
      </w:tabs>
    </w:pPr>
    <w:rPr/>
  </w:style>
  <w:style w:type="paragraph" w:styleId="Footer">
    <w:name w:val="Footer"/>
    <w:basedOn w:val="Normalny"/>
    <w:pPr>
      <w:tabs>
        <w:tab w:val="clear" w:pos="708"/>
        <w:tab w:val="center" w:pos="4536" w:leader="none"/>
        <w:tab w:val="right" w:pos="9072" w:leader="none"/>
      </w:tabs>
      <w:suppressAutoHyphens w:val="true"/>
      <w:spacing w:lineRule="auto" w:line="240" w:before="0" w:after="0"/>
    </w:pPr>
    <w:rPr/>
  </w:style>
  <w:style w:type="paragraph" w:styleId="Zawartotabeli">
    <w:name w:val="Zawartość tabeli"/>
    <w:basedOn w:val="Standard"/>
    <w:qFormat/>
    <w:pPr>
      <w:widowControl w:val="false"/>
      <w:suppressLineNumbers/>
      <w:suppressAutoHyphens w:val="true"/>
    </w:pPr>
    <w:rPr/>
  </w:style>
  <w:style w:type="paragraph" w:styleId="Akapitzlist">
    <w:name w:val="Akapit z listą"/>
    <w:basedOn w:val="Normal"/>
    <w:qFormat/>
    <w:pPr>
      <w:tabs>
        <w:tab w:val="clear" w:pos="708"/>
      </w:tabs>
      <w:suppressAutoHyphens w:val="false"/>
      <w:ind w:hanging="0" w:left="720" w:right="0"/>
    </w:pPr>
    <w:rPr/>
  </w:style>
  <w:style w:type="paragraph" w:styleId="Header">
    <w:name w:val="Header"/>
    <w:basedOn w:val="Normal"/>
    <w:pPr>
      <w:suppressLineNumbers/>
      <w:tabs>
        <w:tab w:val="clear" w:pos="708"/>
        <w:tab w:val="center" w:pos="4819" w:leader="none"/>
        <w:tab w:val="right" w:pos="9638" w:leader="none"/>
      </w:tabs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styleId="Default">
    <w:name w:val="Default"/>
    <w:qFormat/>
    <w:pPr>
      <w:keepNext w:val="false"/>
      <w:keepLines w:val="false"/>
      <w:pageBreakBefore w:val="false"/>
      <w:widowControl/>
      <w:shd w:val="clear" w:fill="auto"/>
      <w:suppressAutoHyphens w:val="false"/>
      <w:overflowPunct w:val="true"/>
      <w:bidi w:val="0"/>
      <w:snapToGrid w:val="true"/>
      <w:spacing w:lineRule="auto" w:line="276" w:before="0" w:after="200"/>
      <w:jc w:val="left"/>
      <w:textAlignment w:val="baseline"/>
    </w:pPr>
    <w:rPr>
      <w:rFonts w:ascii="0" w:hAnsi="0" w:eastAsia="Calibri" w:cs="Times New Roman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000000"/>
      <w:spacing w:val="0"/>
      <w:w w:val="100"/>
      <w:kern w:val="0"/>
      <w:position w:val="0"/>
      <w:sz w:val="24"/>
      <w:sz w:val="24"/>
      <w:szCs w:val="22"/>
      <w:u w:val="none"/>
      <w:shd w:fill="auto" w:val="clear"/>
      <w:vertAlign w:val="baseline"/>
      <w:em w:val="none"/>
      <w:lang w:val="pl-PL" w:eastAsia="en-US" w:bidi="ar-SA"/>
    </w:rPr>
  </w:style>
  <w:style w:type="paragraph" w:styleId="Standard">
    <w:name w:val="Standard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Liberation Serif;Times New Roman" w:hAnsi="Liberation Serif;Times New Roman" w:eastAsia="NSimSun" w:cs="Lucida Sans"/>
      <w:color w:val="auto"/>
      <w:kern w:val="2"/>
      <w:sz w:val="24"/>
      <w:szCs w:val="24"/>
      <w:lang w:val="pl-PL" w:eastAsia="zh-CN" w:bidi="hi-IN"/>
    </w:rPr>
  </w:style>
  <w:style w:type="paragraph" w:styleId="Ccb9d67a">
    <w:name w:val="ccb9d67a"/>
    <w:basedOn w:val="Normal"/>
    <w:qFormat/>
    <w:pPr>
      <w:suppressAutoHyphens w:val="false"/>
      <w:spacing w:before="100" w:after="100"/>
      <w:textAlignment w:val="auto"/>
    </w:pPr>
    <w:rPr>
      <w:rFonts w:ascii="Times New Roman" w:hAnsi="Times New Roman" w:eastAsia="Times New Roman" w:cs="Times New Roman"/>
      <w:kern w:val="0"/>
      <w:lang w:bidi="ar-SA"/>
    </w:rPr>
  </w:style>
  <w:style w:type="paragraph" w:styleId="Standard1">
    <w:name w:val="Standard1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Liberation Serif;Times New Roman" w:hAnsi="Liberation Serif;Times New Roman" w:eastAsia="NSimSun" w:cs="Lucida Sans"/>
      <w:color w:val="auto"/>
      <w:kern w:val="2"/>
      <w:sz w:val="24"/>
      <w:szCs w:val="24"/>
      <w:lang w:val="pl-PL" w:eastAsia="zh-CN" w:bidi="hi-IN"/>
    </w:rPr>
  </w:style>
  <w:style w:type="paragraph" w:styleId="Standard2">
    <w:name w:val="Standard2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Liberation Serif;Times New Roman" w:hAnsi="Liberation Serif;Times New Roman" w:eastAsia="NSimSun" w:cs="Lucida Sans"/>
      <w:color w:val="auto"/>
      <w:kern w:val="2"/>
      <w:sz w:val="24"/>
      <w:szCs w:val="24"/>
      <w:lang w:val="pl-PL" w:eastAsia="zh-CN" w:bidi="hi-IN"/>
    </w:rPr>
  </w:style>
  <w:style w:type="paragraph" w:styleId="Bezodstpw">
    <w:name w:val="Bez odstępów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Liberation Serif;Times New Roman" w:hAnsi="Liberation Serif;Times New Roman" w:eastAsia="NSimSun" w:cs="Mangal;Courier New"/>
      <w:color w:val="auto"/>
      <w:kern w:val="2"/>
      <w:sz w:val="24"/>
      <w:szCs w:val="21"/>
      <w:lang w:val="pl-PL" w:eastAsia="zh-CN" w:bidi="hi-IN"/>
    </w:rPr>
  </w:style>
  <w:style w:type="numbering" w:styleId="WW8Num10">
    <w:name w:val="WW8Num10"/>
    <w:qFormat/>
  </w:style>
  <w:style w:type="numbering" w:styleId="WW8Num3">
    <w:name w:val="WW8Num3"/>
    <w:qFormat/>
  </w:style>
  <w:style w:type="numbering" w:styleId="WW8Num13">
    <w:name w:val="WW8Num13"/>
    <w:qFormat/>
  </w:style>
  <w:style w:type="numbering" w:styleId="WW8Num6">
    <w:name w:val="WW8Num6"/>
    <w:qFormat/>
  </w:style>
  <w:style w:type="numbering" w:styleId="WW8Num2">
    <w:name w:val="WW8Num2"/>
    <w:qFormat/>
  </w:style>
  <w:style w:type="numbering" w:styleId="WW8Num9">
    <w:name w:val="WW8Num9"/>
    <w:qFormat/>
  </w:style>
  <w:style w:type="numbering" w:styleId="WW8Num5">
    <w:name w:val="WW8Num5"/>
    <w:qFormat/>
  </w:style>
  <w:style w:type="numbering" w:styleId="WW8Num12">
    <w:name w:val="WW8Num12"/>
    <w:qFormat/>
  </w:style>
  <w:style w:type="numbering" w:styleId="WW8Num8">
    <w:name w:val="WW8Num8"/>
    <w:qFormat/>
  </w:style>
  <w:style w:type="numbering" w:styleId="WW8Num4">
    <w:name w:val="WW8Num4"/>
    <w:qFormat/>
  </w:style>
  <w:style w:type="numbering" w:styleId="WW8Num11">
    <w:name w:val="WW8Num11"/>
    <w:qFormat/>
  </w:style>
  <w:style w:type="numbering" w:styleId="WW8Num7">
    <w:name w:val="WW8Num7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sekretariat@gops.gminabilgoraj.pl" TargetMode="External"/><Relationship Id="rId3" Type="http://schemas.openxmlformats.org/officeDocument/2006/relationships/header" Target="header1.xml"/><Relationship Id="rId4" Type="http://schemas.openxmlformats.org/officeDocument/2006/relationships/header" Target="header2.xml"/><Relationship Id="rId5" Type="http://schemas.openxmlformats.org/officeDocument/2006/relationships/header" Target="header3.xml"/><Relationship Id="rId6" Type="http://schemas.openxmlformats.org/officeDocument/2006/relationships/footer" Target="footer1.xml"/><Relationship Id="rId7" Type="http://schemas.openxmlformats.org/officeDocument/2006/relationships/footer" Target="footer2.xml"/><Relationship Id="rId8" Type="http://schemas.openxmlformats.org/officeDocument/2006/relationships/footer" Target="footer3.xml"/><Relationship Id="rId9" Type="http://schemas.openxmlformats.org/officeDocument/2006/relationships/numbering" Target="numbering.xml"/><Relationship Id="rId10" Type="http://schemas.openxmlformats.org/officeDocument/2006/relationships/fontTable" Target="fontTable.xml"/><Relationship Id="rId11" Type="http://schemas.openxmlformats.org/officeDocument/2006/relationships/settings" Target="settings.xml"/><Relationship Id="rId12" Type="http://schemas.openxmlformats.org/officeDocument/2006/relationships/theme" Target="theme/theme1.xml"/>
</Relationships>
</file>

<file path=word/_rels/header2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_rels/header3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1189</TotalTime>
  <Application>LibreOffice/24.2.3.2$Windows_X86_64 LibreOffice_project/433d9c2ded56988e8a90e6b2e771ee4e6a5ab2ba</Application>
  <AppVersion>15.0000</AppVersion>
  <Pages>5</Pages>
  <Words>611</Words>
  <Characters>3763</Characters>
  <CharactersWithSpaces>4392</CharactersWithSpaces>
  <Paragraphs>123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2024-02-09T22:08:00Z</dcterms:created>
  <dc:creator>Jakub Milewski</dc:creator>
  <dc:description/>
  <dc:language>pl-PL</dc:language>
  <cp:lastModifiedBy/>
  <dcterms:modified xsi:type="dcterms:W3CDTF">2025-09-17T16:16:00Z</dcterms:modified>
  <cp:revision>131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